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footnotes.xml" ContentType="application/vnd.openxmlformats-officedocument.wordprocessingml.footnotes+xml"/>
  <Override PartName="/word/commentsExtended.xml" ContentType="application/vnd.openxmlformats-officedocument.wordprocessingml.commentsExtended+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 xml:space="preserve"> </w:t>
      </w:r>
    </w:p>
    <w:sdt>
      <w:sdtPr>
        <w:rPr>
          <w:rFonts w:hint="default" w:ascii="メイリオ" w:hAnsi="メイリオ" w:eastAsia="メイリオ"/>
          <w:color w:val="000000" w:themeColor="text1"/>
          <w:sz w:val="24"/>
        </w:rPr>
        <w:id w:val="-1458023435"/>
        <w:docPartObj>
          <w:docPartGallery w:val="Cover Pages"/>
          <w:docPartUnique/>
        </w:docPartObj>
      </w:sdtPr>
      <w:sdtEndPr>
        <w:rPr>
          <w:rFonts w:hint="default"/>
          <w:color w:val="000000" w:themeColor="text1"/>
        </w:rPr>
      </w:sdtEndPr>
      <w:sdtContent>
        <w:p>
          <w:pPr>
            <w:pStyle w:val="0"/>
            <w:rPr>
              <w:rFonts w:hint="default" w:ascii="メイリオ" w:hAnsi="メイリオ" w:eastAsia="メイリオ"/>
              <w:color w:val="000000" w:themeColor="text1"/>
              <w:sz w:val="24"/>
            </w:rPr>
          </w:pPr>
        </w:p>
        <w:tbl>
          <w:tblPr>
            <w:tblStyle w:val="11"/>
            <w:tblpPr w:leftFromText="187" w:rightFromText="187" w:topFromText="0" w:bottomFromText="0" w:vertAnchor="margin" w:horzAnchor="margin" w:tblpXSpec="center" w:tblpY="2881"/>
            <w:tblW w:w="5918" w:type="pct"/>
            <w:tblLayout w:type="fixed"/>
            <w:tblCellMar>
              <w:left w:w="144" w:type="dxa"/>
              <w:right w:w="115" w:type="dxa"/>
            </w:tblCellMar>
            <w:tblLook w:firstRow="1" w:lastRow="0" w:firstColumn="1" w:lastColumn="0" w:noHBand="0" w:noVBand="1" w:val="04A0"/>
          </w:tblPr>
          <w:tblGrid>
            <w:gridCol w:w="10065"/>
          </w:tblGrid>
          <w:tr>
            <w:trPr/>
            <w:tc>
              <w:tcPr>
                <w:tcW w:w="10065" w:type="dxa"/>
                <w:tcMar>
                  <w:top w:w="216" w:type="dxa"/>
                  <w:left w:w="115" w:type="dxa"/>
                  <w:bottom w:w="216" w:type="dxa"/>
                  <w:right w:w="115" w:type="dxa"/>
                </w:tcMar>
                <w:vAlign w:val="top"/>
              </w:tcPr>
              <w:p>
                <w:pPr>
                  <w:pStyle w:val="15"/>
                  <w:jc w:val="center"/>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7" behindDoc="0" locked="0" layoutInCell="1" hidden="0" allowOverlap="1">
                          <wp:simplePos x="0" y="0"/>
                          <wp:positionH relativeFrom="column">
                            <wp:posOffset>182245</wp:posOffset>
                          </wp:positionH>
                          <wp:positionV relativeFrom="paragraph">
                            <wp:posOffset>-126365</wp:posOffset>
                          </wp:positionV>
                          <wp:extent cx="5997575" cy="1007745"/>
                          <wp:effectExtent l="635" t="635" r="29845" b="10795"/>
                          <wp:wrapNone/>
                          <wp:docPr id="1026" name="四角形: 角を丸くする 1"/>
                          <a:graphic xmlns:a="http://schemas.openxmlformats.org/drawingml/2006/main">
                            <a:graphicData uri="http://schemas.microsoft.com/office/word/2010/wordprocessingShape">
                              <wps:wsp>
                                <wps:cNvPr id="1026" name="四角形: 角を丸くする 1"/>
                                <wps:cNvSpPr/>
                                <wps:spPr>
                                  <a:xfrm>
                                    <a:off x="0" y="0"/>
                                    <a:ext cx="5997575" cy="100774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 style="mso-position-vertical-relative:text;z-index:27;mso-wrap-distance-left:9pt;width:472.25pt;height:79.34pt;mso-position-horizontal-relative:text;position:absolute;margin-left:14.35pt;margin-top:-9.94pt;mso-wrap-distance-bottom:0pt;mso-wrap-distance-right:9pt;mso-wrap-distance-top:0pt;" o:spid="_x0000_s1026" o:allowincell="t" o:allowoverlap="t" filled="f" stroked="t" strokecolor="#1c2e52"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eastAsia" w:ascii="HGPｺﾞｼｯｸE" w:hAnsi="HGPｺﾞｼｯｸE" w:eastAsia="HGPｺﾞｼｯｸE"/>
                    <w:color w:val="000000" w:themeColor="text1"/>
                    <w:sz w:val="44"/>
                  </w:rPr>
                  <w:t>第</w:t>
                </w:r>
                <w:r>
                  <w:rPr>
                    <w:rFonts w:hint="eastAsia" w:ascii="HGPｺﾞｼｯｸE" w:hAnsi="HGPｺﾞｼｯｸE" w:eastAsia="HGPｺﾞｼｯｸE"/>
                    <w:color w:val="000000" w:themeColor="text1"/>
                    <w:sz w:val="44"/>
                  </w:rPr>
                  <w:t>9</w:t>
                </w:r>
                <w:r>
                  <w:rPr>
                    <w:rFonts w:hint="eastAsia" w:ascii="HGPｺﾞｼｯｸE" w:hAnsi="HGPｺﾞｼｯｸE" w:eastAsia="HGPｺﾞｼｯｸE"/>
                    <w:color w:val="000000" w:themeColor="text1"/>
                    <w:sz w:val="44"/>
                  </w:rPr>
                  <w:t>期</w:t>
                </w:r>
              </w:p>
            </w:tc>
          </w:tr>
          <w:tr>
            <w:trPr>
              <w:trHeight w:val="1229" w:hRule="atLeast"/>
            </w:trPr>
            <w:tc>
              <w:tcPr>
                <w:tcW w:w="10065" w:type="dxa"/>
                <w:vAlign w:val="top"/>
              </w:tcPr>
              <w:tbl>
                <w:tblPr>
                  <w:tblStyle w:val="11"/>
                  <w:tblpPr w:leftFromText="187" w:rightFromText="187" w:topFromText="0" w:bottomFromText="0" w:vertAnchor="page" w:horzAnchor="margin" w:tblpXSpec="center" w:tblpY="918"/>
                  <w:tblW w:w="2420" w:type="pct"/>
                  <w:tblLayout w:type="fixed"/>
                  <w:tblLook w:firstRow="1" w:lastRow="0" w:firstColumn="1" w:lastColumn="0" w:noHBand="0" w:noVBand="1" w:val="04A0"/>
                </w:tblPr>
                <w:tblGrid>
                  <w:gridCol w:w="4746"/>
                </w:tblGrid>
                <w:tr>
                  <w:trPr>
                    <w:trHeight w:val="590" w:hRule="atLeast"/>
                  </w:trPr>
                  <w:tc>
                    <w:tcPr>
                      <w:tcW w:w="4747" w:type="dxa"/>
                      <w:tcMar>
                        <w:top w:w="216" w:type="dxa"/>
                        <w:left w:w="115" w:type="dxa"/>
                        <w:bottom w:w="216" w:type="dxa"/>
                        <w:right w:w="115" w:type="dxa"/>
                      </w:tcMar>
                      <w:vAlign w:val="top"/>
                    </w:tcPr>
                    <w:p>
                      <w:pPr>
                        <w:pStyle w:val="15"/>
                        <w:ind w:left="0" w:leftChars="0" w:firstLine="0" w:firstLineChars="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40"/>
                        </w:rPr>
                        <w:t>令和</w:t>
                      </w:r>
                      <w:r>
                        <w:rPr>
                          <w:rFonts w:hint="eastAsia" w:ascii="メイリオ" w:hAnsi="メイリオ" w:eastAsia="メイリオ"/>
                          <w:color w:val="000000" w:themeColor="text1"/>
                          <w:sz w:val="40"/>
                        </w:rPr>
                        <w:t>6</w:t>
                      </w:r>
                      <w:r>
                        <w:rPr>
                          <w:rFonts w:hint="eastAsia" w:ascii="メイリオ" w:hAnsi="メイリオ" w:eastAsia="メイリオ"/>
                          <w:color w:val="000000" w:themeColor="text1"/>
                          <w:sz w:val="40"/>
                        </w:rPr>
                        <w:t>年度～令和８年度</w:t>
                      </w:r>
                    </w:p>
                  </w:tc>
                </w:tr>
              </w:tbl>
              <w:sdt>
                <w:sdtPr>
                  <w:rPr>
                    <w:rFonts w:hint="eastAsia" w:ascii="HGPｺﾞｼｯｸE" w:hAnsi="HGPｺﾞｼｯｸE" w:eastAsia="HGPｺﾞｼｯｸE"/>
                    <w:color w:val="000000" w:themeColor="text1"/>
                    <w:sz w:val="40"/>
                  </w:rPr>
                  <w:alias w:val="タイトル"/>
                  <w:id w:val="13406919"/>
                  <w:placeholder>
                    <w:docPart w:val="450098EDC7304AC5858FDDCC8AE8353B"/>
                  </w:placeholder>
                  <w:dataBinding w:prefixMappings="xmlns:ns0='http://schemas.openxmlformats.org/package/2006/metadata/core-properties' xmlns:ns1='http://purl.org/dc/elements/1.1/'" w:xpath="/ns0:coreProperties[1]/ns1:title[1]" w:storeItemID="{6C3C8BC8-F283-45AE-878A-BAB7291924A1}"/>
                  <w:text/>
                </w:sdtPr>
                <w:sdtEndPr>
                  <w:rPr>
                    <w:rFonts w:hint="default"/>
                    <w:color w:val="000000" w:themeColor="text1"/>
                  </w:rPr>
                </w:sdtEndPr>
                <w:sdtContent>
                  <w:p>
                    <w:pPr>
                      <w:pStyle w:val="15"/>
                      <w:spacing w:line="216" w:lineRule="auto"/>
                      <w:jc w:val="center"/>
                    </w:pPr>
                    <w:r>
                      <w:rPr>
                        <w:rFonts w:hint="eastAsia" w:ascii="HGPｺﾞｼｯｸE" w:hAnsi="HGPｺﾞｼｯｸE" w:eastAsia="HGPｺﾞｼｯｸE"/>
                        <w:color w:val="000000" w:themeColor="text1"/>
                        <w:sz w:val="40"/>
                      </w:rPr>
                      <w:t>陸別町高齢者保健福祉計画・介護保険事業計画</w:t>
                    </w:r>
                  </w:p>
                </w:sdtContent>
              </w:sdt>
            </w:tc>
          </w:tr>
        </w:tbl>
        <w:p>
          <w:pPr>
            <w:pStyle w:val="0"/>
            <w:widowControl w:val="1"/>
            <w:jc w:val="left"/>
            <w:rPr>
              <w:rFonts w:hint="default" w:ascii="メイリオ" w:hAnsi="メイリオ" w:eastAsia="メイリオ"/>
              <w:color w:val="000000" w:themeColor="text1"/>
              <w:sz w:val="24"/>
            </w:rPr>
          </w:pPr>
        </w:p>
      </w:sdtContent>
    </w:sdt>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60" behindDoc="0" locked="0" layoutInCell="1" hidden="0" allowOverlap="1">
            <wp:simplePos x="0" y="0"/>
            <wp:positionH relativeFrom="margin">
              <wp:posOffset>1811020</wp:posOffset>
            </wp:positionH>
            <wp:positionV relativeFrom="paragraph">
              <wp:posOffset>7000875</wp:posOffset>
            </wp:positionV>
            <wp:extent cx="1990725" cy="711835"/>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8"/>
                    <a:stretch>
                      <a:fillRect/>
                    </a:stretch>
                  </pic:blipFill>
                  <pic:spPr>
                    <a:xfrm>
                      <a:off x="0" y="0"/>
                      <a:ext cx="1990725" cy="711835"/>
                    </a:xfrm>
                    <a:prstGeom prst="rect">
                      <a:avLst/>
                    </a:prstGeom>
                  </pic:spPr>
                </pic:pic>
              </a:graphicData>
            </a:graphic>
          </wp:anchor>
        </w:drawing>
      </w:r>
      <w:r>
        <w:rPr>
          <w:rFonts w:hint="default" w:ascii="メイリオ" w:hAnsi="メイリオ" w:eastAsia="メイリオ"/>
          <w:color w:val="000000" w:themeColor="text1"/>
          <w:sz w:val="24"/>
        </w:rPr>
        <w:br w:type="page"/>
      </w:r>
      <w:r>
        <w:rPr>
          <w:rFonts w:hint="eastAsia" w:ascii="メイリオ" w:hAnsi="メイリオ" w:eastAsia="メイリオ"/>
          <w:color w:val="000000" w:themeColor="text1"/>
          <w:sz w:val="24"/>
        </w:rPr>
        <w:t>目次</w:t>
      </w:r>
    </w:p>
    <w:p>
      <w:pPr>
        <w:pStyle w:val="0"/>
        <w:widowControl w:val="1"/>
        <w:jc w:val="left"/>
        <w:rPr>
          <w:rFonts w:hint="default" w:ascii="メイリオ" w:hAnsi="メイリオ" w:eastAsia="メイリオ"/>
          <w:color w:val="000000" w:themeColor="text1"/>
          <w:sz w:val="24"/>
        </w:rPr>
      </w:pPr>
    </w:p>
    <w:p>
      <w:pPr>
        <w:pStyle w:val="46"/>
        <w:tabs>
          <w:tab w:val="right" w:leader="dot" w:pos="8494"/>
        </w:tabs>
        <w:rPr>
          <w:rFonts w:hint="default" w:ascii="メイリオ" w:hAnsi="メイリオ" w:eastAsia="メイリオ"/>
          <w:color w:val="000000" w:themeColor="text1"/>
          <w:sz w:val="20"/>
        </w:rPr>
      </w:pPr>
      <w:r>
        <w:rPr>
          <w:rFonts w:hint="default" w:ascii="メイリオ" w:hAnsi="メイリオ" w:eastAsia="メイリオ"/>
          <w:sz w:val="24"/>
        </w:rPr>
        <w:fldChar w:fldCharType="begin"/>
      </w:r>
      <w:r>
        <w:rPr>
          <w:rFonts w:hint="default" w:ascii="メイリオ" w:hAnsi="メイリオ" w:eastAsia="メイリオ"/>
          <w:sz w:val="24"/>
        </w:rPr>
        <w:instrText xml:space="preserve"> TOC \h \z \t "見出し 3,3,りくべつ見出し1,1,りくべつ見出し2,2" </w:instrText>
      </w:r>
      <w:r>
        <w:rPr>
          <w:rFonts w:hint="default" w:ascii="メイリオ" w:hAnsi="メイリオ" w:eastAsia="メイリオ"/>
          <w:sz w:val="24"/>
        </w:rPr>
        <w:fldChar w:fldCharType="separate"/>
      </w:r>
      <w:r>
        <w:rPr>
          <w:rFonts w:hint="eastAsia"/>
        </w:rPr>
        <w:fldChar w:fldCharType="begin"/>
      </w:r>
      <w:r>
        <w:rPr>
          <w:rFonts w:hint="eastAsia"/>
        </w:rPr>
        <w:instrText xml:space="preserve"> HYPERLINK  \l "_Toc154129917"</w:instrText>
      </w:r>
      <w:r>
        <w:rPr>
          <w:rFonts w:hint="eastAsia"/>
        </w:rPr>
        <w:fldChar w:fldCharType="separate"/>
      </w:r>
      <w:r>
        <w:rPr>
          <w:rFonts w:hint="eastAsia" w:ascii="メイリオ" w:hAnsi="メイリオ" w:eastAsia="メイリオ"/>
          <w:color w:val="000000" w:themeColor="text1"/>
          <w:sz w:val="20"/>
        </w:rPr>
        <w:t>第１章　計画策定にあたって</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_Toc154129917 \h </w:instrText>
      </w:r>
      <w:r>
        <w:rPr>
          <w:rFonts w:hint="eastAsia"/>
        </w:rPr>
        <w:fldChar w:fldCharType="separate"/>
      </w:r>
      <w:r>
        <w:rPr>
          <w:rFonts w:hint="default" w:ascii="メイリオ" w:hAnsi="メイリオ" w:eastAsia="メイリオ"/>
          <w:sz w:val="20"/>
        </w:rPr>
        <w:t>2</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"_Toc154129918"</w:instrText>
      </w:r>
      <w:r>
        <w:rPr>
          <w:rFonts w:hint="eastAsia"/>
        </w:rPr>
        <w:fldChar w:fldCharType="separate"/>
      </w:r>
      <w:r>
        <w:rPr>
          <w:rFonts w:hint="eastAsia" w:ascii="メイリオ" w:hAnsi="メイリオ" w:eastAsia="メイリオ"/>
          <w:color w:val="000000" w:themeColor="text1"/>
          <w:sz w:val="20"/>
        </w:rPr>
        <w:t>第１節　計画策定の趣旨</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_Toc154129918 \h </w:instrText>
      </w:r>
      <w:r>
        <w:rPr>
          <w:rFonts w:hint="eastAsia"/>
        </w:rPr>
        <w:fldChar w:fldCharType="separate"/>
      </w:r>
      <w:r>
        <w:rPr>
          <w:rFonts w:hint="default" w:ascii="メイリオ" w:hAnsi="メイリオ" w:eastAsia="メイリオ"/>
          <w:sz w:val="20"/>
        </w:rPr>
        <w:t>2</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"_Toc154129919"</w:instrText>
      </w:r>
      <w:r>
        <w:rPr>
          <w:rFonts w:hint="eastAsia"/>
        </w:rPr>
        <w:fldChar w:fldCharType="separate"/>
      </w:r>
      <w:r>
        <w:rPr>
          <w:rFonts w:hint="eastAsia" w:ascii="メイリオ" w:hAnsi="メイリオ" w:eastAsia="メイリオ"/>
          <w:color w:val="000000" w:themeColor="text1"/>
          <w:sz w:val="20"/>
        </w:rPr>
        <w:t>第２節　計画の位置づけ</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_Toc154129919 \h </w:instrText>
      </w:r>
      <w:r>
        <w:rPr>
          <w:rFonts w:hint="eastAsia"/>
        </w:rPr>
        <w:fldChar w:fldCharType="separate"/>
      </w:r>
      <w:r>
        <w:rPr>
          <w:rFonts w:hint="default" w:ascii="メイリオ" w:hAnsi="メイリオ" w:eastAsia="メイリオ"/>
          <w:sz w:val="20"/>
        </w:rPr>
        <w:t>4</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"_Toc154129920"</w:instrText>
      </w:r>
      <w:r>
        <w:rPr>
          <w:rFonts w:hint="eastAsia"/>
        </w:rPr>
        <w:fldChar w:fldCharType="separate"/>
      </w:r>
      <w:r>
        <w:rPr>
          <w:rFonts w:hint="eastAsia" w:ascii="メイリオ" w:hAnsi="メイリオ" w:eastAsia="メイリオ"/>
          <w:color w:val="000000" w:themeColor="text1"/>
          <w:sz w:val="20"/>
        </w:rPr>
        <w:t>第３節　計画の期間</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_Toc154129920 \h </w:instrText>
      </w:r>
      <w:r>
        <w:rPr>
          <w:rFonts w:hint="eastAsia"/>
        </w:rPr>
        <w:fldChar w:fldCharType="separate"/>
      </w:r>
      <w:r>
        <w:rPr>
          <w:rFonts w:hint="default" w:ascii="メイリオ" w:hAnsi="メイリオ" w:eastAsia="メイリオ"/>
          <w:sz w:val="20"/>
        </w:rPr>
        <w:t>5</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"_Toc154129921"</w:instrText>
      </w:r>
      <w:r>
        <w:rPr>
          <w:rFonts w:hint="eastAsia"/>
        </w:rPr>
        <w:fldChar w:fldCharType="separate"/>
      </w:r>
      <w:r>
        <w:rPr>
          <w:rFonts w:hint="eastAsia" w:ascii="メイリオ" w:hAnsi="メイリオ" w:eastAsia="メイリオ"/>
          <w:color w:val="000000" w:themeColor="text1"/>
          <w:sz w:val="20"/>
        </w:rPr>
        <w:t>第４節　計画の策定体制</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_Toc154129921 \h </w:instrText>
      </w:r>
      <w:r>
        <w:rPr>
          <w:rFonts w:hint="eastAsia"/>
        </w:rPr>
        <w:fldChar w:fldCharType="separate"/>
      </w:r>
      <w:r>
        <w:rPr>
          <w:rFonts w:hint="default" w:ascii="メイリオ" w:hAnsi="メイリオ" w:eastAsia="メイリオ"/>
          <w:sz w:val="20"/>
        </w:rPr>
        <w:t>6</w:t>
      </w:r>
      <w:r>
        <w:rPr>
          <w:rFonts w:hint="eastAsia"/>
        </w:rPr>
        <w:fldChar w:fldCharType="end"/>
      </w:r>
    </w:p>
    <w:p>
      <w:pPr>
        <w:pStyle w:val="47"/>
        <w:tabs>
          <w:tab w:val="right" w:leader="dot" w:pos="8494"/>
        </w:tabs>
        <w:rPr>
          <w:rFonts w:hint="eastAsia" w:ascii="メイリオ" w:hAnsi="メイリオ" w:eastAsia="メイリオ"/>
          <w:color w:val="000000" w:themeColor="text1"/>
          <w:sz w:val="20"/>
        </w:rPr>
      </w:pPr>
      <w:r>
        <w:rPr>
          <w:rFonts w:hint="eastAsia"/>
        </w:rPr>
        <w:fldChar w:fldCharType="begin"/>
      </w:r>
      <w:r>
        <w:rPr>
          <w:rFonts w:hint="eastAsia"/>
        </w:rPr>
        <w:instrText xml:space="preserve"> HYPERLINK  \l "_Toc154129922"</w:instrText>
      </w:r>
      <w:r>
        <w:rPr>
          <w:rFonts w:hint="eastAsia"/>
        </w:rPr>
        <w:fldChar w:fldCharType="separate"/>
      </w:r>
      <w:r>
        <w:rPr>
          <w:rFonts w:hint="eastAsia" w:ascii="メイリオ" w:hAnsi="メイリオ" w:eastAsia="メイリオ"/>
          <w:color w:val="000000" w:themeColor="text1"/>
          <w:sz w:val="20"/>
        </w:rPr>
        <w:t>第５節　計画策定にあたっての基本的な視点</w:t>
      </w:r>
      <w:r>
        <w:rPr>
          <w:rFonts w:hint="eastAsia" w:ascii="メイリオ" w:hAnsi="メイリオ" w:eastAsia="メイリオ"/>
          <w:color w:val="000000" w:themeColor="text1"/>
          <w:sz w:val="20"/>
        </w:rPr>
        <w:tab/>
      </w:r>
      <w:r>
        <w:rPr>
          <w:rFonts w:hint="eastAsia" w:ascii="メイリオ" w:hAnsi="メイリオ" w:eastAsia="メイリオ"/>
          <w:color w:val="000000" w:themeColor="text1"/>
          <w:sz w:val="20"/>
        </w:rPr>
        <w:t>8</w:t>
      </w:r>
      <w:r>
        <w:rPr>
          <w:rFonts w:hint="eastAsia"/>
        </w:rPr>
        <w:fldChar w:fldCharType="end"/>
      </w:r>
    </w:p>
    <w:p>
      <w:pPr>
        <w:pStyle w:val="46"/>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"_Toc154129923"</w:instrText>
      </w:r>
      <w:r>
        <w:rPr>
          <w:rFonts w:hint="eastAsia"/>
        </w:rPr>
        <w:fldChar w:fldCharType="separate"/>
      </w:r>
      <w:r>
        <w:rPr>
          <w:rFonts w:hint="eastAsia" w:ascii="メイリオ" w:hAnsi="メイリオ" w:eastAsia="メイリオ"/>
          <w:color w:val="000000" w:themeColor="text1"/>
          <w:sz w:val="20"/>
        </w:rPr>
        <w:t>第２章　本町の高齢者を取り巻く状況と課題</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_Toc154129923 \h </w:instrText>
      </w:r>
      <w:r>
        <w:rPr>
          <w:rFonts w:hint="eastAsia"/>
        </w:rPr>
        <w:fldChar w:fldCharType="separate"/>
      </w:r>
      <w:r>
        <w:rPr>
          <w:rFonts w:hint="default" w:ascii="メイリオ" w:hAnsi="メイリオ" w:eastAsia="メイリオ"/>
          <w:sz w:val="20"/>
        </w:rPr>
        <w:t>12</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"_Toc154129924"</w:instrText>
      </w:r>
      <w:r>
        <w:rPr>
          <w:rFonts w:hint="eastAsia"/>
        </w:rPr>
        <w:fldChar w:fldCharType="separate"/>
      </w:r>
      <w:r>
        <w:rPr>
          <w:rFonts w:hint="eastAsia" w:ascii="メイリオ" w:hAnsi="メイリオ" w:eastAsia="メイリオ"/>
          <w:color w:val="000000" w:themeColor="text1"/>
          <w:sz w:val="20"/>
        </w:rPr>
        <w:t>第１節　高齢者の現状</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_Toc154129924 \h </w:instrText>
      </w:r>
      <w:r>
        <w:rPr>
          <w:rFonts w:hint="eastAsia"/>
        </w:rPr>
        <w:fldChar w:fldCharType="separate"/>
      </w:r>
      <w:r>
        <w:rPr>
          <w:rFonts w:hint="default" w:ascii="メイリオ" w:hAnsi="メイリオ" w:eastAsia="メイリオ"/>
          <w:sz w:val="20"/>
        </w:rPr>
        <w:t>12</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"_Toc154129925"</w:instrText>
      </w:r>
      <w:r>
        <w:rPr>
          <w:rFonts w:hint="eastAsia"/>
        </w:rPr>
        <w:fldChar w:fldCharType="separate"/>
      </w:r>
      <w:r>
        <w:rPr>
          <w:rFonts w:hint="eastAsia" w:ascii="メイリオ" w:hAnsi="メイリオ" w:eastAsia="メイリオ"/>
          <w:color w:val="000000" w:themeColor="text1"/>
          <w:sz w:val="20"/>
        </w:rPr>
        <w:t>第２節　介護保険給付等の状況</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_Toc154129925 \h </w:instrText>
      </w:r>
      <w:r>
        <w:rPr>
          <w:rFonts w:hint="eastAsia"/>
        </w:rPr>
        <w:fldChar w:fldCharType="separate"/>
      </w:r>
      <w:r>
        <w:rPr>
          <w:rFonts w:hint="default" w:ascii="メイリオ" w:hAnsi="メイリオ" w:eastAsia="メイリオ"/>
          <w:sz w:val="20"/>
        </w:rPr>
        <w:t>18</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"_Toc154129926"</w:instrText>
      </w:r>
      <w:r>
        <w:rPr>
          <w:rFonts w:hint="eastAsia"/>
        </w:rPr>
        <w:fldChar w:fldCharType="separate"/>
      </w:r>
      <w:r>
        <w:rPr>
          <w:rFonts w:hint="eastAsia" w:ascii="メイリオ" w:hAnsi="メイリオ" w:eastAsia="メイリオ"/>
          <w:color w:val="000000" w:themeColor="text1"/>
          <w:sz w:val="20"/>
        </w:rPr>
        <w:t>第</w:t>
      </w:r>
      <w:r>
        <w:rPr>
          <w:rFonts w:hint="eastAsia" w:ascii="メイリオ" w:hAnsi="メイリオ" w:eastAsia="メイリオ"/>
          <w:color w:val="000000" w:themeColor="text1"/>
          <w:sz w:val="20"/>
        </w:rPr>
        <w:t>3</w:t>
      </w:r>
      <w:r>
        <w:rPr>
          <w:rFonts w:hint="eastAsia" w:ascii="メイリオ" w:hAnsi="メイリオ" w:eastAsia="メイリオ"/>
          <w:color w:val="000000" w:themeColor="text1"/>
          <w:sz w:val="20"/>
        </w:rPr>
        <w:t>節　第８期計画期間における取り組みの評価と今後の課題</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_Toc154129926 \h </w:instrText>
      </w:r>
      <w:r>
        <w:rPr>
          <w:rFonts w:hint="eastAsia"/>
        </w:rPr>
        <w:fldChar w:fldCharType="separate"/>
      </w:r>
      <w:r>
        <w:rPr>
          <w:rFonts w:hint="default" w:ascii="メイリオ" w:hAnsi="メイリオ" w:eastAsia="メイリオ"/>
          <w:sz w:val="20"/>
        </w:rPr>
        <w:t>25</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"_Toc154129927"</w:instrText>
      </w:r>
      <w:r>
        <w:rPr>
          <w:rFonts w:hint="eastAsia"/>
        </w:rPr>
        <w:fldChar w:fldCharType="separate"/>
      </w:r>
      <w:r>
        <w:rPr>
          <w:rFonts w:hint="eastAsia" w:ascii="メイリオ" w:hAnsi="メイリオ" w:eastAsia="メイリオ"/>
          <w:color w:val="000000" w:themeColor="text1"/>
          <w:sz w:val="20"/>
        </w:rPr>
        <w:t>第４節　アンケート調査から見た陸別町の現状</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_Toc154129927 \h </w:instrText>
      </w:r>
      <w:r>
        <w:rPr>
          <w:rFonts w:hint="eastAsia"/>
        </w:rPr>
        <w:fldChar w:fldCharType="separate"/>
      </w:r>
      <w:r>
        <w:rPr>
          <w:rFonts w:hint="default" w:ascii="メイリオ" w:hAnsi="メイリオ" w:eastAsia="メイリオ"/>
          <w:sz w:val="20"/>
        </w:rPr>
        <w:t>28</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"_Toc154129928"</w:instrText>
      </w:r>
      <w:r>
        <w:rPr>
          <w:rFonts w:hint="eastAsia"/>
        </w:rPr>
        <w:fldChar w:fldCharType="separate"/>
      </w:r>
      <w:r>
        <w:rPr>
          <w:rFonts w:hint="eastAsia" w:ascii="メイリオ" w:hAnsi="メイリオ" w:eastAsia="メイリオ"/>
          <w:color w:val="000000" w:themeColor="text1"/>
          <w:sz w:val="20"/>
        </w:rPr>
        <w:t>第５節　事業所ヒアリング結果</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_Toc154129928 \h </w:instrText>
      </w:r>
      <w:r>
        <w:rPr>
          <w:rFonts w:hint="eastAsia"/>
        </w:rPr>
        <w:fldChar w:fldCharType="separate"/>
      </w:r>
      <w:r>
        <w:rPr>
          <w:rFonts w:hint="default" w:ascii="メイリオ" w:hAnsi="メイリオ" w:eastAsia="メイリオ"/>
          <w:sz w:val="20"/>
        </w:rPr>
        <w:t>41</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"_Toc154129929"</w:instrText>
      </w:r>
      <w:r>
        <w:rPr>
          <w:rFonts w:hint="eastAsia"/>
        </w:rPr>
        <w:fldChar w:fldCharType="separate"/>
      </w:r>
      <w:r>
        <w:rPr>
          <w:rFonts w:hint="eastAsia" w:ascii="メイリオ" w:hAnsi="メイリオ" w:eastAsia="メイリオ"/>
          <w:color w:val="000000" w:themeColor="text1"/>
          <w:sz w:val="20"/>
        </w:rPr>
        <w:t>第６節　第９期計画における課題</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42</w:t>
      </w:r>
    </w:p>
    <w:p>
      <w:pPr>
        <w:pStyle w:val="46"/>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"_Toc154129930"</w:instrText>
      </w:r>
      <w:r>
        <w:rPr>
          <w:rFonts w:hint="eastAsia"/>
        </w:rPr>
        <w:fldChar w:fldCharType="separate"/>
      </w:r>
      <w:r>
        <w:rPr>
          <w:rFonts w:hint="eastAsia" w:ascii="メイリオ" w:hAnsi="メイリオ" w:eastAsia="メイリオ"/>
          <w:color w:val="000000" w:themeColor="text1"/>
          <w:sz w:val="20"/>
        </w:rPr>
        <w:t>第３章　計画の基本理念と基本的方向</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_Toc154129930 \h </w:instrText>
      </w:r>
      <w:r>
        <w:rPr>
          <w:rFonts w:hint="eastAsia"/>
        </w:rPr>
        <w:fldChar w:fldCharType="separate"/>
      </w:r>
      <w:r>
        <w:rPr>
          <w:rFonts w:hint="default" w:ascii="メイリオ" w:hAnsi="メイリオ" w:eastAsia="メイリオ"/>
          <w:sz w:val="20"/>
        </w:rPr>
        <w:t>46</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"_Toc154129931"</w:instrText>
      </w:r>
      <w:r>
        <w:rPr>
          <w:rFonts w:hint="eastAsia"/>
        </w:rPr>
        <w:fldChar w:fldCharType="separate"/>
      </w:r>
      <w:r>
        <w:rPr>
          <w:rFonts w:hint="eastAsia" w:ascii="メイリオ" w:hAnsi="メイリオ" w:eastAsia="メイリオ"/>
          <w:color w:val="000000" w:themeColor="text1"/>
          <w:sz w:val="20"/>
        </w:rPr>
        <w:t>第１節　基本理念</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_Toc154129931 \h </w:instrText>
      </w:r>
      <w:r>
        <w:rPr>
          <w:rFonts w:hint="eastAsia"/>
        </w:rPr>
        <w:fldChar w:fldCharType="separate"/>
      </w:r>
      <w:r>
        <w:rPr>
          <w:rFonts w:hint="default" w:ascii="メイリオ" w:hAnsi="メイリオ" w:eastAsia="メイリオ"/>
          <w:sz w:val="20"/>
        </w:rPr>
        <w:t>46</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"_Toc154129932"</w:instrText>
      </w:r>
      <w:r>
        <w:rPr>
          <w:rFonts w:hint="eastAsia"/>
        </w:rPr>
        <w:fldChar w:fldCharType="separate"/>
      </w:r>
      <w:r>
        <w:rPr>
          <w:rFonts w:hint="eastAsia" w:ascii="メイリオ" w:hAnsi="メイリオ" w:eastAsia="メイリオ"/>
          <w:color w:val="000000" w:themeColor="text1"/>
          <w:sz w:val="20"/>
        </w:rPr>
        <w:t>第２節　基本目標</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_Toc154129932 \h </w:instrText>
      </w:r>
      <w:r>
        <w:rPr>
          <w:rFonts w:hint="eastAsia"/>
        </w:rPr>
        <w:fldChar w:fldCharType="separate"/>
      </w:r>
      <w:r>
        <w:rPr>
          <w:rFonts w:hint="default" w:ascii="メイリオ" w:hAnsi="メイリオ" w:eastAsia="メイリオ"/>
          <w:sz w:val="20"/>
        </w:rPr>
        <w:t>47</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"_Toc154129933"</w:instrText>
      </w:r>
      <w:r>
        <w:rPr>
          <w:rFonts w:hint="eastAsia"/>
        </w:rPr>
        <w:fldChar w:fldCharType="separate"/>
      </w:r>
      <w:r>
        <w:rPr>
          <w:rFonts w:hint="eastAsia" w:ascii="メイリオ" w:hAnsi="メイリオ" w:eastAsia="メイリオ"/>
          <w:color w:val="000000" w:themeColor="text1"/>
          <w:sz w:val="20"/>
        </w:rPr>
        <w:t>第３節　日常生活圏域の設定</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_Toc154129933 \h </w:instrText>
      </w:r>
      <w:r>
        <w:rPr>
          <w:rFonts w:hint="eastAsia"/>
        </w:rPr>
        <w:fldChar w:fldCharType="separate"/>
      </w:r>
      <w:r>
        <w:rPr>
          <w:rFonts w:hint="default" w:ascii="メイリオ" w:hAnsi="メイリオ" w:eastAsia="メイリオ"/>
          <w:sz w:val="20"/>
        </w:rPr>
        <w:t>49</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"_Toc154129934"</w:instrText>
      </w:r>
      <w:r>
        <w:rPr>
          <w:rFonts w:hint="eastAsia"/>
        </w:rPr>
        <w:fldChar w:fldCharType="separate"/>
      </w:r>
      <w:r>
        <w:rPr>
          <w:rFonts w:hint="eastAsia" w:ascii="メイリオ" w:hAnsi="メイリオ" w:eastAsia="メイリオ"/>
          <w:color w:val="000000" w:themeColor="text1"/>
          <w:sz w:val="20"/>
        </w:rPr>
        <w:t>第４節　施策体系</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_Toc154129934 \h </w:instrText>
      </w:r>
      <w:r>
        <w:rPr>
          <w:rFonts w:hint="eastAsia"/>
        </w:rPr>
        <w:fldChar w:fldCharType="separate"/>
      </w:r>
      <w:r>
        <w:rPr>
          <w:rFonts w:hint="default" w:ascii="メイリオ" w:hAnsi="メイリオ" w:eastAsia="メイリオ"/>
          <w:sz w:val="20"/>
        </w:rPr>
        <w:t>50</w:t>
      </w:r>
      <w:r>
        <w:rPr>
          <w:rFonts w:hint="eastAsia"/>
        </w:rPr>
        <w:fldChar w:fldCharType="end"/>
      </w:r>
    </w:p>
    <w:p>
      <w:pPr>
        <w:pStyle w:val="46"/>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"_Toc154129935"</w:instrText>
      </w:r>
      <w:r>
        <w:rPr>
          <w:rFonts w:hint="eastAsia"/>
        </w:rPr>
        <w:fldChar w:fldCharType="separate"/>
      </w:r>
      <w:r>
        <w:rPr>
          <w:rFonts w:hint="eastAsia" w:ascii="メイリオ" w:hAnsi="メイリオ" w:eastAsia="メイリオ"/>
          <w:color w:val="000000" w:themeColor="text1"/>
          <w:sz w:val="20"/>
        </w:rPr>
        <w:t>第４章　施策の展開</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51</w:t>
      </w:r>
    </w:p>
    <w:p>
      <w:pPr>
        <w:pStyle w:val="47"/>
        <w:tabs>
          <w:tab w:val="right" w:leader="dot" w:pos="8494"/>
        </w:tabs>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基本目標１　</w:t>
      </w:r>
      <w:r>
        <w:rPr>
          <w:rFonts w:hint="eastAsia"/>
        </w:rPr>
        <w:fldChar w:fldCharType="begin"/>
      </w:r>
      <w:r>
        <w:rPr>
          <w:rFonts w:hint="eastAsia"/>
        </w:rPr>
        <w:instrText xml:space="preserve"> HYPERLINK  \l "_Toc154129936"</w:instrText>
      </w:r>
      <w:r>
        <w:rPr>
          <w:rFonts w:hint="eastAsia"/>
        </w:rPr>
        <w:fldChar w:fldCharType="separate"/>
      </w:r>
      <w:r>
        <w:rPr>
          <w:rFonts w:hint="eastAsia" w:ascii="メイリオ" w:hAnsi="メイリオ" w:eastAsia="メイリオ"/>
          <w:color w:val="000000" w:themeColor="text1"/>
          <w:sz w:val="20"/>
        </w:rPr>
        <w:t>住み慣れた環境で暮らし続けることができる体制の構築</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51</w:t>
      </w:r>
    </w:p>
    <w:p>
      <w:pPr>
        <w:pStyle w:val="47"/>
        <w:tabs>
          <w:tab w:val="right" w:leader="dot" w:pos="8494"/>
        </w:tabs>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基本目標２　</w:t>
      </w:r>
      <w:r>
        <w:rPr>
          <w:rFonts w:hint="eastAsia"/>
        </w:rPr>
        <w:fldChar w:fldCharType="begin"/>
      </w:r>
      <w:r>
        <w:rPr>
          <w:rFonts w:hint="eastAsia"/>
        </w:rPr>
        <w:instrText xml:space="preserve"> HYPERLINK  \l "_Toc154129937"</w:instrText>
      </w:r>
      <w:r>
        <w:rPr>
          <w:rFonts w:hint="eastAsia"/>
        </w:rPr>
        <w:fldChar w:fldCharType="separate"/>
      </w:r>
      <w:r>
        <w:rPr>
          <w:rFonts w:hint="eastAsia" w:ascii="メイリオ" w:hAnsi="メイリオ" w:eastAsia="メイリオ"/>
          <w:color w:val="000000" w:themeColor="text1"/>
          <w:sz w:val="20"/>
        </w:rPr>
        <w:t>日々の生活に楽しみが持て、つながりや支え合いを大切にできる地域づくり</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57</w:t>
      </w:r>
      <w:bookmarkStart w:id="0" w:name="_GoBack"/>
      <w:bookmarkEnd w:id="0"/>
    </w:p>
    <w:p>
      <w:pPr>
        <w:pStyle w:val="47"/>
        <w:tabs>
          <w:tab w:val="right" w:leader="dot" w:pos="8494"/>
        </w:tabs>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基本目標３　</w:t>
      </w:r>
      <w:r>
        <w:rPr>
          <w:rFonts w:hint="eastAsia"/>
        </w:rPr>
        <w:fldChar w:fldCharType="begin"/>
      </w:r>
      <w:r>
        <w:rPr>
          <w:rFonts w:hint="eastAsia"/>
        </w:rPr>
        <w:instrText xml:space="preserve"> HYPERLINK  \l "_Toc154129938"</w:instrText>
      </w:r>
      <w:r>
        <w:rPr>
          <w:rFonts w:hint="eastAsia"/>
        </w:rPr>
        <w:fldChar w:fldCharType="separate"/>
      </w:r>
      <w:r>
        <w:rPr>
          <w:rFonts w:hint="eastAsia" w:ascii="メイリオ" w:hAnsi="メイリオ" w:eastAsia="メイリオ"/>
          <w:color w:val="000000" w:themeColor="text1"/>
          <w:sz w:val="20"/>
        </w:rPr>
        <w:t>介護予防と重度化予防、自立支援の推進</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color w:val="000000" w:themeColor="text1"/>
          <w:sz w:val="20"/>
        </w:rPr>
        <w:instrText xml:space="preserve">PageRef _Toc154129938 \h </w:instrText>
      </w:r>
      <w:r>
        <w:rPr>
          <w:rFonts w:hint="eastAsia"/>
        </w:rPr>
        <w:fldChar w:fldCharType="separate"/>
      </w:r>
      <w:r>
        <w:rPr>
          <w:rFonts w:hint="default" w:ascii="メイリオ" w:hAnsi="メイリオ" w:eastAsia="メイリオ"/>
          <w:color w:val="000000" w:themeColor="text1"/>
          <w:sz w:val="20"/>
        </w:rPr>
        <w:t>60</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基本目標４　</w:t>
      </w:r>
      <w:r>
        <w:rPr>
          <w:rFonts w:hint="eastAsia"/>
        </w:rPr>
        <w:fldChar w:fldCharType="begin"/>
      </w:r>
      <w:r>
        <w:rPr>
          <w:rFonts w:hint="eastAsia"/>
        </w:rPr>
        <w:instrText xml:space="preserve"> HYPERLINK  \l "_Toc154129939"</w:instrText>
      </w:r>
      <w:r>
        <w:rPr>
          <w:rFonts w:hint="eastAsia"/>
        </w:rPr>
        <w:fldChar w:fldCharType="separate"/>
      </w:r>
      <w:r>
        <w:rPr>
          <w:rFonts w:hint="eastAsia" w:ascii="メイリオ" w:hAnsi="メイリオ" w:eastAsia="メイリオ"/>
          <w:color w:val="000000" w:themeColor="text1"/>
          <w:sz w:val="20"/>
        </w:rPr>
        <w:t>高齢者の尊厳を大切にした支援や権利擁護の推進</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color w:val="000000" w:themeColor="text1"/>
          <w:sz w:val="20"/>
        </w:rPr>
        <w:instrText xml:space="preserve">PageRef _Toc154129939 \h </w:instrText>
      </w:r>
      <w:r>
        <w:rPr>
          <w:rFonts w:hint="eastAsia"/>
        </w:rPr>
        <w:fldChar w:fldCharType="separate"/>
      </w:r>
      <w:r>
        <w:rPr>
          <w:rFonts w:hint="default" w:ascii="メイリオ" w:hAnsi="メイリオ" w:eastAsia="メイリオ"/>
          <w:color w:val="000000" w:themeColor="text1"/>
          <w:sz w:val="20"/>
        </w:rPr>
        <w:t>62</w:t>
      </w:r>
      <w:r>
        <w:rPr>
          <w:rFonts w:hint="eastAsia"/>
        </w:rPr>
        <w:fldChar w:fldCharType="end"/>
      </w:r>
    </w:p>
    <w:p>
      <w:pPr>
        <w:pStyle w:val="46"/>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"_Toc154129940"</w:instrText>
      </w:r>
      <w:r>
        <w:rPr>
          <w:rFonts w:hint="eastAsia"/>
        </w:rPr>
        <w:fldChar w:fldCharType="separate"/>
      </w:r>
      <w:r>
        <w:rPr>
          <w:rFonts w:hint="eastAsia" w:ascii="メイリオ" w:hAnsi="メイリオ" w:eastAsia="メイリオ"/>
          <w:color w:val="000000" w:themeColor="text1"/>
          <w:sz w:val="20"/>
        </w:rPr>
        <w:t>第５章　介護保険サービスの見込みと保険料の算出</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64</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"_Toc154129941"</w:instrText>
      </w:r>
      <w:r>
        <w:rPr>
          <w:rFonts w:hint="eastAsia"/>
        </w:rPr>
        <w:fldChar w:fldCharType="separate"/>
      </w:r>
      <w:r>
        <w:rPr>
          <w:rFonts w:hint="eastAsia" w:ascii="メイリオ" w:hAnsi="メイリオ" w:eastAsia="メイリオ"/>
          <w:color w:val="000000" w:themeColor="text1"/>
          <w:sz w:val="20"/>
        </w:rPr>
        <w:t>第１節　介護保険サービスの見込量算出にあたっての前提</w:t>
      </w:r>
      <w:r>
        <w:rPr>
          <w:rFonts w:hint="eastAsia" w:ascii="メイリオ" w:hAnsi="メイリオ" w:eastAsia="メイリオ"/>
          <w:color w:val="000000" w:themeColor="text1"/>
          <w:sz w:val="20"/>
        </w:rPr>
        <w:tab/>
      </w:r>
      <w:r>
        <w:rPr>
          <w:rFonts w:hint="eastAsia"/>
        </w:rPr>
        <w:fldChar w:fldCharType="end"/>
      </w:r>
      <w:r>
        <w:rPr>
          <w:rFonts w:hint="eastAsia"/>
        </w:rPr>
        <w:fldChar w:fldCharType="begin"/>
      </w:r>
      <w:r>
        <w:rPr>
          <w:rFonts w:hint="default" w:ascii="メイリオ" w:hAnsi="メイリオ" w:eastAsia="メイリオ"/>
          <w:sz w:val="20"/>
        </w:rPr>
        <w:instrText xml:space="preserve">PageRef _Toc154129941 \h </w:instrText>
      </w:r>
      <w:r>
        <w:rPr>
          <w:rFonts w:hint="eastAsia"/>
        </w:rPr>
        <w:fldChar w:fldCharType="separate"/>
      </w:r>
      <w:r>
        <w:rPr>
          <w:rFonts w:hint="default" w:ascii="メイリオ" w:hAnsi="メイリオ" w:eastAsia="メイリオ"/>
          <w:sz w:val="20"/>
        </w:rPr>
        <w:t>64</w:t>
      </w:r>
      <w:r>
        <w:rPr>
          <w:rFonts w:hint="eastAsia"/>
        </w:rPr>
        <w:fldChar w:fldCharType="end"/>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"_Toc154129942"</w:instrText>
      </w:r>
      <w:r>
        <w:rPr>
          <w:rFonts w:hint="eastAsia"/>
        </w:rPr>
        <w:fldChar w:fldCharType="separate"/>
      </w:r>
      <w:r>
        <w:rPr>
          <w:rFonts w:hint="eastAsia" w:ascii="メイリオ" w:hAnsi="メイリオ" w:eastAsia="メイリオ"/>
          <w:color w:val="000000" w:themeColor="text1"/>
          <w:sz w:val="20"/>
        </w:rPr>
        <w:t>第２節　介護保険サービス量の見込み</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65</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"_Toc154129943"</w:instrText>
      </w:r>
      <w:r>
        <w:rPr>
          <w:rFonts w:hint="eastAsia"/>
        </w:rPr>
        <w:fldChar w:fldCharType="separate"/>
      </w:r>
      <w:r>
        <w:rPr>
          <w:rFonts w:hint="eastAsia" w:ascii="メイリオ" w:hAnsi="メイリオ" w:eastAsia="メイリオ"/>
          <w:color w:val="000000" w:themeColor="text1"/>
          <w:sz w:val="20"/>
        </w:rPr>
        <w:t>第３節　介護保険事業費の見込み</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74</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"_Toc154129944"</w:instrText>
      </w:r>
      <w:r>
        <w:rPr>
          <w:rFonts w:hint="eastAsia"/>
        </w:rPr>
        <w:fldChar w:fldCharType="separate"/>
      </w:r>
      <w:r>
        <w:rPr>
          <w:rFonts w:hint="eastAsia" w:ascii="メイリオ" w:hAnsi="メイリオ" w:eastAsia="メイリオ"/>
          <w:color w:val="000000" w:themeColor="text1"/>
          <w:sz w:val="20"/>
        </w:rPr>
        <w:t>第４節　保険料の算出</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76</w:t>
      </w:r>
    </w:p>
    <w:p>
      <w:pPr>
        <w:pStyle w:val="46"/>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"_Toc154129945"</w:instrText>
      </w:r>
      <w:r>
        <w:rPr>
          <w:rFonts w:hint="eastAsia"/>
        </w:rPr>
        <w:fldChar w:fldCharType="separate"/>
      </w:r>
      <w:r>
        <w:rPr>
          <w:rFonts w:hint="eastAsia" w:ascii="メイリオ" w:hAnsi="メイリオ" w:eastAsia="メイリオ"/>
          <w:color w:val="000000" w:themeColor="text1"/>
          <w:sz w:val="20"/>
        </w:rPr>
        <w:t>第６章　計画の推進</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85</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"_Toc154129946"</w:instrText>
      </w:r>
      <w:r>
        <w:rPr>
          <w:rFonts w:hint="eastAsia"/>
        </w:rPr>
        <w:fldChar w:fldCharType="separate"/>
      </w:r>
      <w:r>
        <w:rPr>
          <w:rFonts w:hint="eastAsia" w:ascii="メイリオ" w:hAnsi="メイリオ" w:eastAsia="メイリオ"/>
          <w:color w:val="000000" w:themeColor="text1"/>
          <w:sz w:val="20"/>
        </w:rPr>
        <w:t>第１節　サービスの円滑な提供を図るための方策</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85</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"_Toc154129947"</w:instrText>
      </w:r>
      <w:r>
        <w:rPr>
          <w:rFonts w:hint="eastAsia"/>
        </w:rPr>
        <w:fldChar w:fldCharType="separate"/>
      </w:r>
      <w:r>
        <w:rPr>
          <w:rFonts w:hint="eastAsia" w:ascii="メイリオ" w:hAnsi="メイリオ" w:eastAsia="メイリオ"/>
          <w:color w:val="000000" w:themeColor="text1"/>
          <w:sz w:val="20"/>
        </w:rPr>
        <w:t>第２節　介護給付適正化</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87</w:t>
      </w:r>
    </w:p>
    <w:p>
      <w:pPr>
        <w:pStyle w:val="47"/>
        <w:tabs>
          <w:tab w:val="right" w:leader="dot" w:pos="8494"/>
        </w:tabs>
        <w:rPr>
          <w:rFonts w:hint="default" w:ascii="メイリオ" w:hAnsi="メイリオ" w:eastAsia="メイリオ"/>
          <w:color w:val="000000" w:themeColor="text1"/>
          <w:sz w:val="20"/>
        </w:rPr>
      </w:pPr>
      <w:r>
        <w:rPr>
          <w:rFonts w:hint="eastAsia"/>
        </w:rPr>
        <w:fldChar w:fldCharType="begin"/>
      </w:r>
      <w:r>
        <w:rPr>
          <w:rFonts w:hint="eastAsia"/>
        </w:rPr>
        <w:instrText xml:space="preserve"> HYPERLINK  \l "_Toc154129948"</w:instrText>
      </w:r>
      <w:r>
        <w:rPr>
          <w:rFonts w:hint="eastAsia"/>
        </w:rPr>
        <w:fldChar w:fldCharType="separate"/>
      </w:r>
      <w:r>
        <w:rPr>
          <w:rFonts w:hint="eastAsia" w:ascii="メイリオ" w:hAnsi="メイリオ" w:eastAsia="メイリオ"/>
          <w:color w:val="000000" w:themeColor="text1"/>
          <w:sz w:val="20"/>
        </w:rPr>
        <w:t>第３節　計画の達成状況の点検と評価</w:t>
      </w:r>
      <w:r>
        <w:rPr>
          <w:rFonts w:hint="eastAsia" w:ascii="メイリオ" w:hAnsi="メイリオ" w:eastAsia="メイリオ"/>
          <w:color w:val="000000" w:themeColor="text1"/>
          <w:sz w:val="20"/>
        </w:rPr>
        <w:tab/>
      </w:r>
      <w:r>
        <w:rPr>
          <w:rFonts w:hint="eastAsia"/>
        </w:rPr>
        <w:fldChar w:fldCharType="end"/>
      </w:r>
      <w:r>
        <w:rPr>
          <w:rFonts w:hint="eastAsia" w:ascii="メイリオ" w:hAnsi="メイリオ" w:eastAsia="メイリオ"/>
          <w:color w:val="000000" w:themeColor="text1"/>
          <w:sz w:val="20"/>
        </w:rPr>
        <w:t>88</w:t>
      </w:r>
    </w:p>
    <w:p>
      <w:pPr>
        <w:pStyle w:val="36"/>
        <w:rPr>
          <w:rFonts w:hint="default"/>
          <w:color w:val="000000" w:themeColor="text1"/>
        </w:rPr>
      </w:pPr>
      <w:r>
        <w:rPr>
          <w:rFonts w:hint="default" w:ascii="メイリオ" w:hAnsi="メイリオ" w:eastAsia="メイリオ"/>
          <w:sz w:val="24"/>
        </w:rPr>
        <w:fldChar w:fldCharType="end"/>
      </w:r>
      <w:bookmarkStart w:id="1" w:name="_Toc154129917"/>
      <w:r>
        <w:rPr>
          <w:rFonts w:hint="eastAsia"/>
          <w:color w:val="000000" w:themeColor="text1"/>
        </w:rPr>
        <w:t>第１章　計画策定にあたって</w:t>
      </w:r>
      <w:bookmarkEnd w:id="1"/>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2" w:name="_Toc154129918"/>
      <w:r>
        <w:rPr>
          <w:rFonts w:hint="eastAsia"/>
          <w:color w:val="000000" w:themeColor="text1"/>
        </w:rPr>
        <w:t>第１節　計画策定の趣旨</w:t>
      </w:r>
      <w:bookmarkEnd w:id="2"/>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我が国の人口構成は高齢者人口が増加し、年少者人口が減少する少子高齢化が一層進むことが予想されています。人口分布の最も大きな集団である団塊の世代が</w:t>
      </w:r>
      <w:r>
        <w:rPr>
          <w:rFonts w:hint="default" w:ascii="メイリオ" w:hAnsi="メイリオ" w:eastAsia="メイリオ"/>
          <w:color w:val="000000" w:themeColor="text1"/>
          <w:sz w:val="24"/>
        </w:rPr>
        <w:t>75</w:t>
      </w:r>
      <w:r>
        <w:rPr>
          <w:rFonts w:hint="default" w:ascii="メイリオ" w:hAnsi="メイリオ" w:eastAsia="メイリオ"/>
          <w:color w:val="000000" w:themeColor="text1"/>
          <w:sz w:val="24"/>
        </w:rPr>
        <w:t>歳以上となる令和７（</w:t>
      </w:r>
      <w:r>
        <w:rPr>
          <w:rFonts w:hint="default" w:ascii="メイリオ" w:hAnsi="メイリオ" w:eastAsia="メイリオ"/>
          <w:color w:val="000000" w:themeColor="text1"/>
          <w:sz w:val="24"/>
        </w:rPr>
        <w:t>2025</w:t>
      </w:r>
      <w:r>
        <w:rPr>
          <w:rFonts w:hint="default" w:ascii="メイリオ" w:hAnsi="メイリオ" w:eastAsia="メイリオ"/>
          <w:color w:val="000000" w:themeColor="text1"/>
          <w:sz w:val="24"/>
        </w:rPr>
        <w:t>）年に</w:t>
      </w:r>
      <w:r>
        <w:rPr>
          <w:rFonts w:hint="eastAsia" w:ascii="メイリオ" w:hAnsi="メイリオ" w:eastAsia="メイリオ"/>
          <w:color w:val="000000" w:themeColor="text1"/>
          <w:sz w:val="24"/>
        </w:rPr>
        <w:t>高齢者人口が</w:t>
      </w:r>
      <w:r>
        <w:rPr>
          <w:rFonts w:hint="default" w:ascii="メイリオ" w:hAnsi="メイリオ" w:eastAsia="メイリオ"/>
          <w:color w:val="000000" w:themeColor="text1"/>
          <w:sz w:val="24"/>
        </w:rPr>
        <w:t>3,677</w:t>
      </w:r>
      <w:r>
        <w:rPr>
          <w:rFonts w:hint="default" w:ascii="メイリオ" w:hAnsi="メイリオ" w:eastAsia="メイリオ"/>
          <w:color w:val="000000" w:themeColor="text1"/>
          <w:sz w:val="24"/>
        </w:rPr>
        <w:t>万人に達し、令和</w:t>
      </w:r>
      <w:r>
        <w:rPr>
          <w:rFonts w:hint="default" w:ascii="メイリオ" w:hAnsi="メイリオ" w:eastAsia="メイリオ"/>
          <w:color w:val="000000" w:themeColor="text1"/>
          <w:sz w:val="24"/>
        </w:rPr>
        <w:t>2</w:t>
      </w:r>
      <w:r>
        <w:rPr>
          <w:rFonts w:hint="eastAsia" w:ascii="メイリオ" w:hAnsi="メイリオ" w:eastAsia="メイリオ"/>
          <w:color w:val="000000" w:themeColor="text1"/>
          <w:sz w:val="24"/>
        </w:rPr>
        <w:t>2</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204</w:t>
      </w:r>
      <w:r>
        <w:rPr>
          <w:rFonts w:hint="eastAsia" w:ascii="メイリオ" w:hAnsi="メイリオ" w:eastAsia="メイリオ"/>
          <w:color w:val="000000" w:themeColor="text1"/>
          <w:sz w:val="24"/>
        </w:rPr>
        <w:t>0</w:t>
      </w:r>
      <w:r>
        <w:rPr>
          <w:rFonts w:hint="default" w:ascii="メイリオ" w:hAnsi="メイリオ" w:eastAsia="メイリオ"/>
          <w:color w:val="000000" w:themeColor="text1"/>
          <w:sz w:val="24"/>
        </w:rPr>
        <w:t>）年に</w:t>
      </w:r>
      <w:r>
        <w:rPr>
          <w:rFonts w:hint="eastAsia" w:ascii="メイリオ" w:hAnsi="メイリオ" w:eastAsia="メイリオ"/>
          <w:color w:val="000000" w:themeColor="text1"/>
          <w:sz w:val="24"/>
        </w:rPr>
        <w:t>は団塊の世代の子供世代にあたる団塊ジュニア世代が</w:t>
      </w:r>
      <w:r>
        <w:rPr>
          <w:rFonts w:hint="eastAsia" w:ascii="メイリオ" w:hAnsi="メイリオ" w:eastAsia="メイリオ"/>
          <w:color w:val="000000" w:themeColor="text1"/>
          <w:sz w:val="24"/>
        </w:rPr>
        <w:t>65</w:t>
      </w:r>
      <w:r>
        <w:rPr>
          <w:rFonts w:hint="eastAsia" w:ascii="メイリオ" w:hAnsi="メイリオ" w:eastAsia="メイリオ"/>
          <w:color w:val="000000" w:themeColor="text1"/>
          <w:sz w:val="24"/>
        </w:rPr>
        <w:t>歳を迎え、高齢者人口に含まれるため、高齢者人口が</w:t>
      </w:r>
      <w:r>
        <w:rPr>
          <w:rFonts w:hint="eastAsia" w:ascii="メイリオ" w:hAnsi="メイリオ" w:eastAsia="メイリオ"/>
          <w:color w:val="000000" w:themeColor="text1"/>
          <w:sz w:val="24"/>
        </w:rPr>
        <w:t>4,000</w:t>
      </w:r>
      <w:r>
        <w:rPr>
          <w:rFonts w:hint="eastAsia" w:ascii="メイリオ" w:hAnsi="メイリオ" w:eastAsia="メイリオ"/>
          <w:color w:val="000000" w:themeColor="text1"/>
          <w:sz w:val="24"/>
        </w:rPr>
        <w:t>万人に迫る</w:t>
      </w:r>
      <w:r>
        <w:rPr>
          <w:rFonts w:hint="default" w:ascii="メイリオ" w:hAnsi="メイリオ" w:eastAsia="メイリオ"/>
          <w:color w:val="000000" w:themeColor="text1"/>
          <w:sz w:val="24"/>
        </w:rPr>
        <w:t>ピークを迎えることが推計されています。</w:t>
      </w:r>
    </w:p>
    <w:p>
      <w:pPr>
        <w:pStyle w:val="0"/>
        <w:widowControl w:val="1"/>
        <w:ind w:firstLine="240" w:firstLineChars="100"/>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一方、本町の高齢者人口は、平成</w:t>
      </w:r>
      <w:r>
        <w:rPr>
          <w:rFonts w:hint="default" w:ascii="メイリオ" w:hAnsi="メイリオ" w:eastAsia="メイリオ"/>
          <w:color w:val="000000" w:themeColor="text1"/>
          <w:sz w:val="24"/>
        </w:rPr>
        <w:t>30</w:t>
      </w:r>
      <w:r>
        <w:rPr>
          <w:rFonts w:hint="default" w:ascii="メイリオ" w:hAnsi="メイリオ" w:eastAsia="メイリオ"/>
          <w:color w:val="000000" w:themeColor="text1"/>
          <w:sz w:val="24"/>
        </w:rPr>
        <w:t>年にピークを迎え、その後は令和</w:t>
      </w:r>
      <w:r>
        <w:rPr>
          <w:rFonts w:hint="default" w:ascii="メイリオ" w:hAnsi="メイリオ" w:eastAsia="メイリオ"/>
          <w:color w:val="000000" w:themeColor="text1"/>
          <w:sz w:val="24"/>
        </w:rPr>
        <w:t>12</w:t>
      </w:r>
      <w:r>
        <w:rPr>
          <w:rFonts w:hint="default" w:ascii="メイリオ" w:hAnsi="メイリオ" w:eastAsia="メイリオ"/>
          <w:color w:val="000000" w:themeColor="text1"/>
          <w:sz w:val="24"/>
        </w:rPr>
        <w:t>年までほぼ横ばいの推計となっています。本町の高齢化率は</w:t>
      </w:r>
      <w:r>
        <w:rPr>
          <w:rFonts w:hint="default" w:ascii="メイリオ" w:hAnsi="メイリオ" w:eastAsia="メイリオ"/>
          <w:color w:val="auto"/>
          <w:sz w:val="24"/>
        </w:rPr>
        <w:t>令和</w:t>
      </w:r>
      <w:r>
        <w:rPr>
          <w:rFonts w:hint="eastAsia" w:ascii="メイリオ" w:hAnsi="メイリオ" w:eastAsia="メイリオ"/>
          <w:color w:val="auto"/>
          <w:sz w:val="24"/>
        </w:rPr>
        <w:t>5</w:t>
      </w:r>
      <w:r>
        <w:rPr>
          <w:rFonts w:hint="default" w:ascii="メイリオ" w:hAnsi="メイリオ" w:eastAsia="メイリオ"/>
          <w:color w:val="auto"/>
          <w:sz w:val="24"/>
        </w:rPr>
        <w:t>年</w:t>
      </w:r>
      <w:r>
        <w:rPr>
          <w:rFonts w:hint="eastAsia" w:ascii="メイリオ" w:hAnsi="メイリオ" w:eastAsia="メイリオ"/>
          <w:color w:val="auto"/>
          <w:sz w:val="24"/>
        </w:rPr>
        <w:t>9</w:t>
      </w:r>
      <w:r>
        <w:rPr>
          <w:rFonts w:hint="default" w:ascii="メイリオ" w:hAnsi="メイリオ" w:eastAsia="メイリオ"/>
          <w:color w:val="auto"/>
          <w:sz w:val="24"/>
        </w:rPr>
        <w:t>月末時点で</w:t>
      </w:r>
      <w:r>
        <w:rPr>
          <w:rFonts w:hint="eastAsia" w:ascii="メイリオ" w:hAnsi="メイリオ" w:eastAsia="メイリオ"/>
          <w:color w:val="auto"/>
          <w:sz w:val="24"/>
        </w:rPr>
        <w:t>38.2</w:t>
      </w:r>
      <w:r>
        <w:rPr>
          <w:rFonts w:hint="default" w:ascii="メイリオ" w:hAnsi="メイリオ" w:eastAsia="メイリオ"/>
          <w:color w:val="auto"/>
          <w:sz w:val="24"/>
        </w:rPr>
        <w:t>％であり、令和</w:t>
      </w:r>
      <w:r>
        <w:rPr>
          <w:rFonts w:hint="default" w:ascii="メイリオ" w:hAnsi="メイリオ" w:eastAsia="メイリオ"/>
          <w:color w:val="auto"/>
          <w:sz w:val="24"/>
        </w:rPr>
        <w:t>22</w:t>
      </w:r>
      <w:r>
        <w:rPr>
          <w:rFonts w:hint="default" w:ascii="メイリオ" w:hAnsi="メイリオ" w:eastAsia="メイリオ"/>
          <w:color w:val="auto"/>
          <w:sz w:val="24"/>
        </w:rPr>
        <w:t>（</w:t>
      </w:r>
      <w:r>
        <w:rPr>
          <w:rFonts w:hint="default" w:ascii="メイリオ" w:hAnsi="メイリオ" w:eastAsia="メイリオ"/>
          <w:color w:val="auto"/>
          <w:sz w:val="24"/>
        </w:rPr>
        <w:t>2040</w:t>
      </w:r>
      <w:r>
        <w:rPr>
          <w:rFonts w:hint="default" w:ascii="メイリオ" w:hAnsi="メイリオ" w:eastAsia="メイリオ"/>
          <w:color w:val="auto"/>
          <w:sz w:val="24"/>
        </w:rPr>
        <w:t>）年には</w:t>
      </w:r>
      <w:r>
        <w:rPr>
          <w:rFonts w:hint="eastAsia" w:ascii="メイリオ" w:hAnsi="メイリオ" w:eastAsia="メイリオ"/>
          <w:color w:val="auto"/>
          <w:sz w:val="24"/>
        </w:rPr>
        <w:t>31.8</w:t>
      </w:r>
      <w:r>
        <w:rPr>
          <w:rFonts w:hint="default" w:ascii="メイリオ" w:hAnsi="メイリオ" w:eastAsia="メイリオ"/>
          <w:color w:val="auto"/>
          <w:sz w:val="24"/>
        </w:rPr>
        <w:t>％</w:t>
      </w:r>
      <w:r>
        <w:rPr>
          <w:rFonts w:hint="eastAsia" w:ascii="メイリオ" w:hAnsi="メイリオ" w:eastAsia="メイリオ"/>
          <w:color w:val="auto"/>
          <w:sz w:val="24"/>
        </w:rPr>
        <w:t>になると見込まれます。</w:t>
      </w:r>
      <w:r>
        <w:rPr>
          <w:rFonts w:hint="eastAsia" w:ascii="メイリオ" w:hAnsi="メイリオ" w:eastAsia="メイリオ"/>
          <w:color w:val="000000" w:themeColor="text1"/>
          <w:sz w:val="24"/>
        </w:rPr>
        <w:t>高齢者人口の増加は単に年齢の高い人が増える、ということを意味するのではなく、介護サービスを受ける人が増加することや</w:t>
      </w:r>
      <w:r>
        <w:rPr>
          <w:rFonts w:hint="default" w:ascii="メイリオ" w:hAnsi="メイリオ" w:eastAsia="メイリオ"/>
          <w:color w:val="000000" w:themeColor="text1"/>
          <w:sz w:val="24"/>
        </w:rPr>
        <w:t>認知症</w:t>
      </w:r>
      <w:r>
        <w:rPr>
          <w:rFonts w:hint="eastAsia" w:ascii="メイリオ" w:hAnsi="メイリオ" w:eastAsia="メイリオ"/>
          <w:color w:val="000000" w:themeColor="text1"/>
          <w:sz w:val="24"/>
        </w:rPr>
        <w:t>の人</w:t>
      </w:r>
      <w:r>
        <w:rPr>
          <w:rFonts w:hint="default" w:ascii="メイリオ" w:hAnsi="メイリオ" w:eastAsia="メイリオ"/>
          <w:color w:val="000000" w:themeColor="text1"/>
          <w:sz w:val="24"/>
        </w:rPr>
        <w:t>の増加</w:t>
      </w:r>
      <w:r>
        <w:rPr>
          <w:rFonts w:hint="eastAsia" w:ascii="メイリオ" w:hAnsi="メイリオ" w:eastAsia="メイリオ"/>
          <w:color w:val="000000" w:themeColor="text1"/>
          <w:sz w:val="24"/>
        </w:rPr>
        <w:t>が見込まれるなど、介護サービスの需要がさらに増加、多様化されることが想定されます。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こうした状況のなかで、介護保険制度は要介護認定の仕組みや新たなサービスを追加するなどの制度の見直しを図りながら、介護が必要な高齢者の生活の支えとして定着し、利用者も増加しています。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本町では、</w:t>
      </w:r>
      <w:r>
        <w:rPr>
          <w:rFonts w:hint="default" w:ascii="メイリオ" w:hAnsi="メイリオ" w:eastAsia="メイリオ"/>
          <w:color w:val="000000" w:themeColor="text1"/>
          <w:sz w:val="24"/>
        </w:rPr>
        <w:t>介護保険制度の開始以降、介護保険法の規定により３年ごとに高齢者</w:t>
      </w:r>
      <w:r>
        <w:rPr>
          <w:rFonts w:hint="eastAsia" w:ascii="メイリオ" w:hAnsi="メイリオ" w:eastAsia="メイリオ"/>
          <w:color w:val="000000" w:themeColor="text1"/>
          <w:sz w:val="24"/>
        </w:rPr>
        <w:t>保健</w:t>
      </w:r>
      <w:r>
        <w:rPr>
          <w:rFonts w:hint="default" w:ascii="メイリオ" w:hAnsi="メイリオ" w:eastAsia="メイリオ"/>
          <w:color w:val="000000" w:themeColor="text1"/>
          <w:sz w:val="24"/>
        </w:rPr>
        <w:t>福祉計画及び介護保険事業計画を策定しており、これまで「高齢者が住み慣れた</w:t>
      </w:r>
      <w:r>
        <w:rPr>
          <w:rFonts w:hint="eastAsia" w:ascii="メイリオ" w:hAnsi="メイリオ" w:eastAsia="メイリオ"/>
          <w:color w:val="000000" w:themeColor="text1"/>
          <w:sz w:val="24"/>
        </w:rPr>
        <w:t>地域</w:t>
      </w:r>
      <w:r>
        <w:rPr>
          <w:rFonts w:hint="default" w:ascii="メイリオ" w:hAnsi="メイリオ" w:eastAsia="メイリオ"/>
          <w:color w:val="000000" w:themeColor="text1"/>
          <w:sz w:val="24"/>
        </w:rPr>
        <w:t>で自分らしい生活を続けることができる</w:t>
      </w:r>
      <w:r>
        <w:rPr>
          <w:rFonts w:hint="eastAsia" w:ascii="メイリオ" w:hAnsi="メイリオ" w:eastAsia="メイリオ"/>
          <w:color w:val="000000" w:themeColor="text1"/>
          <w:sz w:val="24"/>
        </w:rPr>
        <w:t>まち</w:t>
      </w:r>
      <w:r>
        <w:rPr>
          <w:rFonts w:hint="default" w:ascii="メイリオ" w:hAnsi="メイリオ" w:eastAsia="メイリオ"/>
          <w:color w:val="000000" w:themeColor="text1"/>
          <w:sz w:val="24"/>
        </w:rPr>
        <w:t>」を目指して、「高齢者一人</w:t>
      </w:r>
      <w:r>
        <w:rPr>
          <w:rFonts w:hint="eastAsia" w:ascii="メイリオ" w:hAnsi="メイリオ" w:eastAsia="メイリオ"/>
          <w:color w:val="000000" w:themeColor="text1"/>
          <w:sz w:val="24"/>
        </w:rPr>
        <w:t>ひとり</w:t>
      </w:r>
      <w:r>
        <w:rPr>
          <w:rFonts w:hint="default" w:ascii="メイリオ" w:hAnsi="メイリオ" w:eastAsia="メイリオ"/>
          <w:color w:val="000000" w:themeColor="text1"/>
          <w:sz w:val="24"/>
        </w:rPr>
        <w:t>のニーズに対して手が届く</w:t>
      </w:r>
      <w:r>
        <w:rPr>
          <w:rFonts w:hint="eastAsia" w:ascii="メイリオ" w:hAnsi="メイリオ" w:eastAsia="メイリオ"/>
          <w:color w:val="000000" w:themeColor="text1"/>
          <w:sz w:val="24"/>
        </w:rPr>
        <w:t>まち</w:t>
      </w:r>
      <w:r>
        <w:rPr>
          <w:rFonts w:hint="default" w:ascii="メイリオ" w:hAnsi="メイリオ" w:eastAsia="メイリオ"/>
          <w:color w:val="000000" w:themeColor="text1"/>
          <w:sz w:val="24"/>
        </w:rPr>
        <w:t>づくり」を進めてきました。</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本計画は、高齢者が住み慣れた地域で安心して暮らせるようにすることを目的とし、これまでの取り組みを継承しつつ、</w:t>
      </w:r>
      <w:r>
        <w:rPr>
          <w:rFonts w:hint="default" w:ascii="メイリオ" w:hAnsi="メイリオ" w:eastAsia="メイリオ"/>
          <w:color w:val="000000" w:themeColor="text1"/>
          <w:sz w:val="24"/>
        </w:rPr>
        <w:t>令和</w:t>
      </w:r>
      <w:r>
        <w:rPr>
          <w:rFonts w:hint="default" w:ascii="メイリオ" w:hAnsi="メイリオ" w:eastAsia="メイリオ"/>
          <w:color w:val="000000" w:themeColor="text1"/>
          <w:sz w:val="24"/>
        </w:rPr>
        <w:t>22</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2040</w:t>
      </w:r>
      <w:r>
        <w:rPr>
          <w:rFonts w:hint="default" w:ascii="メイリオ" w:hAnsi="メイリオ" w:eastAsia="メイリオ"/>
          <w:color w:val="000000" w:themeColor="text1"/>
          <w:sz w:val="24"/>
        </w:rPr>
        <w:t>）年を見据えて、国の介護保険事業に係る基本指針等を踏まえながら、高齢者を地域全体で支え合う仕組みづくりを推進するため、本町における高齢者施策の基本的な考え方や目指すべき取り組みを総合的に整え、介護保険制度の安定的な運営と、さらなる地域包括ケアシステムの深化・推進等を念頭におき策定するもので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また、この計画は第６期陸別町総合計画において掲げる基本目標「支え合いで心と身体の幸せをつくるまち」の実現に向けて、高齢者福祉部門からアプローチするものでもあります。</w: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3" w:name="_Toc154129919"/>
      <w:r>
        <w:rPr>
          <w:rFonts w:hint="eastAsia"/>
          <w:color w:val="000000" w:themeColor="text1"/>
        </w:rPr>
        <w:t>第２節　計画の位置づけ</w:t>
      </w:r>
      <w:bookmarkEnd w:id="3"/>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本計画は、老人福祉法第</w:t>
      </w:r>
      <w:r>
        <w:rPr>
          <w:rFonts w:hint="default" w:ascii="メイリオ" w:hAnsi="メイリオ" w:eastAsia="メイリオ"/>
          <w:color w:val="000000" w:themeColor="text1"/>
          <w:sz w:val="24"/>
        </w:rPr>
        <w:t xml:space="preserve">20 </w:t>
      </w:r>
      <w:r>
        <w:rPr>
          <w:rFonts w:hint="default" w:ascii="メイリオ" w:hAnsi="メイリオ" w:eastAsia="メイリオ"/>
          <w:color w:val="000000" w:themeColor="text1"/>
          <w:sz w:val="24"/>
        </w:rPr>
        <w:t>条の８に基づく「市町村老人福祉計画」及び介護保険</w:t>
      </w:r>
      <w:r>
        <w:rPr>
          <w:rFonts w:hint="eastAsia" w:ascii="メイリオ" w:hAnsi="メイリオ" w:eastAsia="メイリオ"/>
          <w:color w:val="000000" w:themeColor="text1"/>
          <w:sz w:val="24"/>
        </w:rPr>
        <w:t>法第</w:t>
      </w:r>
      <w:r>
        <w:rPr>
          <w:rFonts w:hint="default" w:ascii="メイリオ" w:hAnsi="メイリオ" w:eastAsia="メイリオ"/>
          <w:color w:val="000000" w:themeColor="text1"/>
          <w:sz w:val="24"/>
        </w:rPr>
        <w:t>117</w:t>
      </w:r>
      <w:r>
        <w:rPr>
          <w:rFonts w:hint="default" w:ascii="メイリオ" w:hAnsi="メイリオ" w:eastAsia="メイリオ"/>
          <w:color w:val="000000" w:themeColor="text1"/>
          <w:sz w:val="24"/>
        </w:rPr>
        <w:t>条に基づく「市町村介護保険事業計画」を一体的に策定したものであり、本</w:t>
      </w:r>
      <w:r>
        <w:rPr>
          <w:rFonts w:hint="eastAsia" w:ascii="メイリオ" w:hAnsi="メイリオ" w:eastAsia="メイリオ"/>
          <w:color w:val="000000" w:themeColor="text1"/>
          <w:sz w:val="24"/>
        </w:rPr>
        <w:t>町</w:t>
      </w:r>
      <w:r>
        <w:rPr>
          <w:rFonts w:hint="default" w:ascii="メイリオ" w:hAnsi="メイリオ" w:eastAsia="メイリオ"/>
          <w:color w:val="000000" w:themeColor="text1"/>
          <w:sz w:val="24"/>
        </w:rPr>
        <w:t>における高齢者保健福祉施策の総合的指針として位置づけられるものです。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また、上位計画の</w:t>
      </w:r>
      <w:r>
        <w:rPr>
          <w:rFonts w:hint="default" w:ascii="メイリオ" w:hAnsi="メイリオ" w:eastAsia="メイリオ"/>
          <w:color w:val="000000" w:themeColor="text1"/>
          <w:sz w:val="24"/>
        </w:rPr>
        <w:t>「陸別町総合計画」及び</w:t>
      </w:r>
      <w:r>
        <w:rPr>
          <w:rFonts w:hint="eastAsia" w:ascii="メイリオ" w:hAnsi="メイリオ" w:eastAsia="メイリオ"/>
          <w:color w:val="000000" w:themeColor="text1"/>
          <w:sz w:val="24"/>
        </w:rPr>
        <w:t>「陸別町地域福祉計画」や</w:t>
      </w:r>
      <w:r>
        <w:rPr>
          <w:rFonts w:hint="default" w:ascii="メイリオ" w:hAnsi="メイリオ" w:eastAsia="メイリオ"/>
          <w:color w:val="000000" w:themeColor="text1"/>
          <w:sz w:val="24"/>
        </w:rPr>
        <w:t>他の福祉計画と整合を図り策定していま</w:t>
      </w:r>
      <w:r>
        <w:rPr>
          <w:rFonts w:hint="eastAsia" w:ascii="メイリオ" w:hAnsi="メイリオ" w:eastAsia="メイリオ"/>
          <w:color w:val="000000" w:themeColor="text1"/>
          <w:sz w:val="24"/>
        </w:rPr>
        <w:t>す</w:t>
      </w:r>
      <w:r>
        <w:rPr>
          <w:rFonts w:hint="default" w:ascii="メイリオ" w:hAnsi="メイリオ" w:eastAsia="メイリオ"/>
          <w:color w:val="000000" w:themeColor="text1"/>
          <w:sz w:val="24"/>
        </w:rPr>
        <w:t>。さらに、国の｢基本指針｣や｢北海道高齢者保健福祉計画・介護保険事業支援計画｣、</w:t>
      </w:r>
      <w:r>
        <w:rPr>
          <w:rFonts w:hint="eastAsia" w:ascii="メイリオ" w:hAnsi="メイリオ" w:eastAsia="メイリオ"/>
          <w:color w:val="000000" w:themeColor="text1"/>
          <w:sz w:val="24"/>
        </w:rPr>
        <w:t>｢北海道医療計画｣</w:t>
      </w:r>
      <w:r>
        <w:rPr>
          <w:rFonts w:hint="default" w:ascii="メイリオ" w:hAnsi="メイリオ" w:eastAsia="メイリオ"/>
          <w:color w:val="000000" w:themeColor="text1"/>
          <w:sz w:val="24"/>
        </w:rPr>
        <w:t>等の関連する計画との整合性も必要に応じて図っています。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4" behindDoc="0" locked="0" layoutInCell="1" hidden="0" allowOverlap="1">
                <wp:simplePos x="0" y="0"/>
                <wp:positionH relativeFrom="column">
                  <wp:posOffset>112395</wp:posOffset>
                </wp:positionH>
                <wp:positionV relativeFrom="paragraph">
                  <wp:posOffset>81280</wp:posOffset>
                </wp:positionV>
                <wp:extent cx="5549265" cy="479425"/>
                <wp:effectExtent l="635" t="635" r="29845" b="10795"/>
                <wp:wrapNone/>
                <wp:docPr id="1028" name="四角形: 角を丸くする 12"/>
                <a:graphic xmlns:a="http://schemas.openxmlformats.org/drawingml/2006/main">
                  <a:graphicData uri="http://schemas.microsoft.com/office/word/2010/wordprocessingShape">
                    <wps:wsp>
                      <wps:cNvPr id="1028" name="四角形: 角を丸くする 12"/>
                      <wps:cNvSpPr/>
                      <wps:spPr>
                        <a:xfrm>
                          <a:off x="0" y="0"/>
                          <a:ext cx="5549265" cy="479425"/>
                        </a:xfrm>
                        <a:prstGeom prst="roundRect">
                          <a:avLst/>
                        </a:prstGeom>
                        <a:solidFill>
                          <a:schemeClr val="accent1">
                            <a:lumMod val="50000"/>
                          </a:schemeClr>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color w:val="FFFFFF" w:themeColor="background1"/>
                                <w:sz w:val="32"/>
                              </w:rPr>
                            </w:pPr>
                            <w:r>
                              <w:rPr>
                                <w:rFonts w:hint="eastAsia" w:ascii="メイリオ" w:hAnsi="メイリオ" w:eastAsia="メイリオ"/>
                                <w:color w:val="FFFFFF" w:themeColor="background1"/>
                                <w:sz w:val="32"/>
                              </w:rPr>
                              <w:t>陸別町総合計画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4;mso-wrap-distance-left:9pt;width:436.95pt;height:37.75pt;mso-position-horizontal-relative:text;position:absolute;margin-left:8.85pt;margin-top:6.4pt;mso-wrap-distance-bottom:0pt;mso-wrap-distance-right:9pt;mso-wrap-distance-top:0pt;v-text-anchor:middle;" o:spid="_x0000_s1028" o:allowincell="t" o:allowoverlap="t" filled="t" fillcolor="#203764 [1604]"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FFFFFF" w:themeColor="background1"/>
                          <w:sz w:val="32"/>
                        </w:rPr>
                      </w:pPr>
                      <w:r>
                        <w:rPr>
                          <w:rFonts w:hint="eastAsia" w:ascii="メイリオ" w:hAnsi="メイリオ" w:eastAsia="メイリオ"/>
                          <w:color w:val="FFFFFF" w:themeColor="background1"/>
                          <w:sz w:val="32"/>
                        </w:rPr>
                        <w:t>陸別町総合計画</w:t>
                      </w:r>
                    </w:p>
                  </w:txbxContent>
                </v:textbox>
                <v:imagedata o:title=""/>
                <w10:wrap type="none" anchorx="text" anchory="text"/>
              </v:roundrect>
            </w:pict>
          </mc:Fallback>
        </mc:AlternateConten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4" behindDoc="0" locked="0" layoutInCell="1" hidden="0" allowOverlap="1">
                <wp:simplePos x="0" y="0"/>
                <wp:positionH relativeFrom="column">
                  <wp:posOffset>2602230</wp:posOffset>
                </wp:positionH>
                <wp:positionV relativeFrom="paragraph">
                  <wp:posOffset>200660</wp:posOffset>
                </wp:positionV>
                <wp:extent cx="570230" cy="398145"/>
                <wp:effectExtent l="0" t="0" r="635" b="635"/>
                <wp:wrapNone/>
                <wp:docPr id="1029" name="矢印: 下 17"/>
                <a:graphic xmlns:a="http://schemas.openxmlformats.org/drawingml/2006/main">
                  <a:graphicData uri="http://schemas.microsoft.com/office/word/2010/wordprocessingShape">
                    <wps:wsp>
                      <wps:cNvPr id="1029" name="矢印: 下 17"/>
                      <wps:cNvSpPr/>
                      <wps:spPr>
                        <a:xfrm>
                          <a:off x="0" y="0"/>
                          <a:ext cx="570230" cy="398145"/>
                        </a:xfrm>
                        <a:prstGeom prst="downArrow">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style="mso-position-vertical-relative:text;z-index:14;mso-wrap-distance-left:9pt;width:44.9pt;height:31.35pt;mso-position-horizontal-relative:text;position:absolute;margin-left:204.9pt;margin-top:15.8pt;mso-wrap-distance-bottom:0pt;mso-wrap-distance-right:9pt;mso-wrap-distance-top:0pt;" o:spid="_x0000_s1029" o:allowincell="t" o:allowoverlap="t" filled="t" fillcolor="#203764 [1604]" stroked="f" strokecolor="#1c2e52" strokeweight="1pt" o:spt="67" type="#_x0000_t67" adj="10800,5400">
                <v:fill/>
                <v:stroke linestyle="single" miterlimit="8" endcap="flat" dashstyle="solid"/>
                <v:textbox style="layout-flow:horizontal;"/>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0" behindDoc="0" locked="0" layoutInCell="1" hidden="0" allowOverlap="1">
                <wp:simplePos x="0" y="0"/>
                <wp:positionH relativeFrom="margin">
                  <wp:posOffset>1642110</wp:posOffset>
                </wp:positionH>
                <wp:positionV relativeFrom="paragraph">
                  <wp:posOffset>301625</wp:posOffset>
                </wp:positionV>
                <wp:extent cx="2779395" cy="298450"/>
                <wp:effectExtent l="0" t="0" r="635" b="635"/>
                <wp:wrapSquare wrapText="bothSides"/>
                <wp:docPr id="1030" name="テキスト ボックス 1"/>
                <a:graphic xmlns:a="http://schemas.openxmlformats.org/drawingml/2006/main">
                  <a:graphicData uri="http://schemas.microsoft.com/office/word/2010/wordprocessingShape">
                    <wps:wsp>
                      <wps:cNvPr id="1030" name="テキスト ボックス 1"/>
                      <wps:cNvSpPr txBox="1"/>
                      <wps:spPr>
                        <a:xfrm>
                          <a:off x="0" y="0"/>
                          <a:ext cx="2779395" cy="298450"/>
                        </a:xfrm>
                        <a:prstGeom prst="rect">
                          <a:avLst/>
                        </a:prstGeom>
                        <a:noFill/>
                        <a:ln w="6350">
                          <a:noFill/>
                        </a:ln>
                      </wps:spPr>
                      <wps:txbx>
                        <w:txbxContent>
                          <w:p>
                            <w:pPr>
                              <w:pStyle w:val="0"/>
                              <w:widowControl w:val="1"/>
                              <w:jc w:val="left"/>
                              <w:rPr>
                                <w:rFonts w:hint="default" w:ascii="メイリオ" w:hAnsi="メイリオ" w:eastAsia="メイリオ"/>
                                <w:sz w:val="24"/>
                              </w:rPr>
                            </w:pPr>
                            <w:r>
                              <w:rPr>
                                <w:rFonts w:hint="eastAsia" w:ascii="メイリオ" w:hAnsi="メイリオ" w:eastAsia="メイリオ"/>
                                <w:sz w:val="24"/>
                              </w:rPr>
                              <w:t>健康福祉分野における連携・調整</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10;mso-wrap-distance-left:9pt;width:218.85pt;height:23.5pt;mso-wrap-mode:square;mso-position-horizontal-relative:margin;position:absolute;margin-left:129.30000000000001pt;margin-top:23.75pt;mso-wrap-distance-bottom:0pt;mso-wrap-distance-right:9pt;mso-wrap-distance-top:0pt;v-text-anchor:top;" o:spid="_x0000_s1030" o:allowincell="t" o:allowoverlap="t" filled="f" stroked="f" strokeweight="0.5pt" o:spt="202" type="#_x0000_t202">
                <v:fill/>
                <v:textbox style="layout-flow:horizontal;" inset="2.0637499999999998mm,0.24694444444444438mm,2.0637499999999998mm,0.24694444444444438mm">
                  <w:txbxContent>
                    <w:p>
                      <w:pPr>
                        <w:pStyle w:val="0"/>
                        <w:widowControl w:val="1"/>
                        <w:jc w:val="left"/>
                        <w:rPr>
                          <w:rFonts w:hint="default" w:ascii="メイリオ" w:hAnsi="メイリオ" w:eastAsia="メイリオ"/>
                          <w:sz w:val="24"/>
                        </w:rPr>
                      </w:pPr>
                      <w:r>
                        <w:rPr>
                          <w:rFonts w:hint="eastAsia" w:ascii="メイリオ" w:hAnsi="メイリオ" w:eastAsia="メイリオ"/>
                          <w:sz w:val="24"/>
                        </w:rPr>
                        <w:t>健康福祉分野における連携・調整</w:t>
                      </w:r>
                    </w:p>
                  </w:txbxContent>
                </v:textbox>
                <v:imagedata o:title=""/>
                <w10:wrap type="square" side="both" anchorx="margin"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9" behindDoc="0" locked="0" layoutInCell="1" hidden="0" allowOverlap="1">
                <wp:simplePos x="0" y="0"/>
                <wp:positionH relativeFrom="column">
                  <wp:posOffset>-210820</wp:posOffset>
                </wp:positionH>
                <wp:positionV relativeFrom="paragraph">
                  <wp:posOffset>12700</wp:posOffset>
                </wp:positionV>
                <wp:extent cx="6089015" cy="2393950"/>
                <wp:effectExtent l="635" t="635" r="29845" b="10795"/>
                <wp:wrapNone/>
                <wp:docPr id="1031" name="四角形: 角を丸くする 14"/>
                <a:graphic xmlns:a="http://schemas.openxmlformats.org/drawingml/2006/main">
                  <a:graphicData uri="http://schemas.microsoft.com/office/word/2010/wordprocessingShape">
                    <wps:wsp>
                      <wps:cNvPr id="1031" name="四角形: 角を丸くする 14"/>
                      <wps:cNvSpPr/>
                      <wps:spPr>
                        <a:xfrm>
                          <a:off x="0" y="0"/>
                          <a:ext cx="6089015" cy="2393950"/>
                        </a:xfrm>
                        <a:prstGeom prst="roundRect">
                          <a:avLst>
                            <a:gd name="adj" fmla="val 10981"/>
                          </a:avLst>
                        </a:prstGeom>
                        <a:noFill/>
                        <a:ln w="25400">
                          <a:prstDash val="dash"/>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4" style="mso-position-vertical-relative:text;z-index:9;mso-wrap-distance-left:9pt;width:479.45pt;height:188.5pt;mso-position-horizontal-relative:text;position:absolute;margin-left:-16.600000000000001pt;margin-top:1pt;mso-wrap-distance-bottom:0pt;mso-wrap-distance-right:9pt;mso-wrap-distance-top:0pt;" o:spid="_x0000_s1031" o:allowincell="t" o:allowoverlap="t" filled="f" stroked="t" strokecolor="#1c2e52" strokeweight="2pt" o:spt="2" arcsize="7197f">
                <v:fill/>
                <v:stroke linestyle="single" miterlimit="8" endcap="flat" dashstyle="dash" filltype="solid"/>
                <v:textbox style="layout-flow:horizontal;"/>
                <v:imagedata o:title=""/>
                <w10:wrap type="none" anchorx="text" anchory="text"/>
              </v:roundrect>
            </w:pict>
          </mc:Fallback>
        </mc:AlternateConten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6" behindDoc="0" locked="0" layoutInCell="1" hidden="0" allowOverlap="1">
                <wp:simplePos x="0" y="0"/>
                <wp:positionH relativeFrom="column">
                  <wp:posOffset>121285</wp:posOffset>
                </wp:positionH>
                <wp:positionV relativeFrom="paragraph">
                  <wp:posOffset>7620</wp:posOffset>
                </wp:positionV>
                <wp:extent cx="5513070" cy="398145"/>
                <wp:effectExtent l="635" t="635" r="29845" b="10795"/>
                <wp:wrapNone/>
                <wp:docPr id="1032" name="四角形: 角を丸くする 12"/>
                <a:graphic xmlns:a="http://schemas.openxmlformats.org/drawingml/2006/main">
                  <a:graphicData uri="http://schemas.microsoft.com/office/word/2010/wordprocessingShape">
                    <wps:wsp>
                      <wps:cNvPr id="1032" name="四角形: 角を丸くする 12"/>
                      <wps:cNvSpPr/>
                      <wps:spPr>
                        <a:xfrm>
                          <a:off x="0" y="0"/>
                          <a:ext cx="5513070" cy="398145"/>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sz w:val="24"/>
                              </w:rPr>
                            </w:pPr>
                            <w:r>
                              <w:rPr>
                                <w:rFonts w:hint="eastAsia" w:ascii="メイリオ" w:hAnsi="メイリオ" w:eastAsia="メイリオ"/>
                                <w:sz w:val="24"/>
                              </w:rPr>
                              <w:t>陸別町地域福祉計画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6;mso-wrap-distance-left:9pt;width:434.1pt;height:31.35pt;mso-position-horizontal-relative:text;position:absolute;margin-left:9.5500000000000007pt;margin-top:0.6pt;mso-wrap-distance-bottom:0pt;mso-wrap-distance-right:9pt;mso-wrap-distance-top:0pt;v-text-anchor:middle;" o:spid="_x0000_s1032" o:allowincell="t" o:allowoverlap="t" filled="t" fillcolor="#8ea9db [1940]"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sz w:val="24"/>
                        </w:rPr>
                      </w:pPr>
                      <w:r>
                        <w:rPr>
                          <w:rFonts w:hint="eastAsia" w:ascii="メイリオ" w:hAnsi="メイリオ" w:eastAsia="メイリオ"/>
                          <w:sz w:val="24"/>
                        </w:rPr>
                        <w:t>陸別町地域福祉計画</w:t>
                      </w:r>
                    </w:p>
                  </w:txbxContent>
                </v:textbox>
                <v:imagedata o:title=""/>
                <w10:wrap type="none" anchorx="text" anchory="text"/>
              </v:roundrect>
            </w:pict>
          </mc:Fallback>
        </mc:AlternateConten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3" behindDoc="0" locked="0" layoutInCell="1" hidden="0" allowOverlap="1">
                <wp:simplePos x="0" y="0"/>
                <wp:positionH relativeFrom="margin">
                  <wp:align>left</wp:align>
                </wp:positionH>
                <wp:positionV relativeFrom="paragraph">
                  <wp:posOffset>250190</wp:posOffset>
                </wp:positionV>
                <wp:extent cx="2407920" cy="1040765"/>
                <wp:effectExtent l="635" t="635" r="29845" b="10795"/>
                <wp:wrapNone/>
                <wp:docPr id="1033" name="四角形: 角を丸くする 12"/>
                <a:graphic xmlns:a="http://schemas.openxmlformats.org/drawingml/2006/main">
                  <a:graphicData uri="http://schemas.microsoft.com/office/word/2010/wordprocessingShape">
                    <wps:wsp>
                      <wps:cNvPr id="1033" name="四角形: 角を丸くする 12"/>
                      <wps:cNvSpPr/>
                      <wps:spPr>
                        <a:xfrm>
                          <a:off x="0" y="0"/>
                          <a:ext cx="2407920" cy="1040765"/>
                        </a:xfrm>
                        <a:prstGeom prst="roundRect">
                          <a:avLst/>
                        </a:prstGeom>
                        <a:ln w="25400"/>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sz w:val="24"/>
                              </w:rPr>
                            </w:pPr>
                            <w:r>
                              <w:rPr>
                                <w:rFonts w:hint="eastAsia" w:ascii="メイリオ" w:hAnsi="メイリオ" w:eastAsia="メイリオ"/>
                                <w:sz w:val="24"/>
                              </w:rPr>
                              <w:t>陸別町高齢者保健福祉計画</w:t>
                            </w:r>
                          </w:p>
                          <w:p>
                            <w:pPr>
                              <w:pStyle w:val="0"/>
                              <w:jc w:val="center"/>
                              <w:rPr>
                                <w:rFonts w:hint="default" w:ascii="メイリオ" w:hAnsi="メイリオ" w:eastAsia="メイリオ"/>
                                <w:sz w:val="24"/>
                              </w:rPr>
                            </w:pPr>
                            <w:r>
                              <w:rPr>
                                <w:rFonts w:hint="eastAsia" w:ascii="メイリオ" w:hAnsi="メイリオ" w:eastAsia="メイリオ"/>
                                <w:strike w:val="0"/>
                                <w:dstrike w:val="0"/>
                                <w:color w:val="FFFFFF" w:themeColor="background1"/>
                                <w:sz w:val="24"/>
                              </w:rPr>
                              <w:t>第</w:t>
                            </w:r>
                            <w:r>
                              <w:rPr>
                                <w:rFonts w:hint="eastAsia" w:ascii="メイリオ" w:hAnsi="メイリオ" w:eastAsia="メイリオ"/>
                                <w:strike w:val="0"/>
                                <w:dstrike w:val="0"/>
                                <w:color w:val="FFFFFF" w:themeColor="background1"/>
                                <w:sz w:val="24"/>
                              </w:rPr>
                              <w:t>9</w:t>
                            </w:r>
                            <w:r>
                              <w:rPr>
                                <w:rFonts w:hint="eastAsia" w:ascii="メイリオ" w:hAnsi="メイリオ" w:eastAsia="メイリオ"/>
                                <w:strike w:val="0"/>
                                <w:dstrike w:val="0"/>
                                <w:color w:val="FFFFFF" w:themeColor="background1"/>
                                <w:sz w:val="24"/>
                              </w:rPr>
                              <w:t>期</w:t>
                            </w:r>
                            <w:r>
                              <w:rPr>
                                <w:rFonts w:hint="eastAsia" w:ascii="メイリオ" w:hAnsi="メイリオ" w:eastAsia="メイリオ"/>
                                <w:sz w:val="24"/>
                              </w:rPr>
                              <w:t>介護保険事業計画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3;mso-wrap-distance-left:9pt;width:189.6pt;height:81.95pt;mso-position-horizontal-relative:margin;position:absolute;mso-position-horizontal:left;margin-top:19.7pt;mso-wrap-distance-bottom:0pt;mso-wrap-distance-right:9pt;mso-wrap-distance-top:0pt;v-text-anchor:middle;" o:spid="_x0000_s1033" o:allowincell="t" o:allowoverlap="t" filled="t" fillcolor="#4472c4 [3204]" stroked="t" strokecolor="#1c2e52" strokeweight="2pt" o:spt="2" arcsize="10923f">
                <v:fill/>
                <v:stroke linestyle="single" miterlimit="8" endcap="flat" dashstyle="solid" filltype="solid"/>
                <v:textbox style="layout-flow:horizontal;">
                  <w:txbxContent>
                    <w:p>
                      <w:pPr>
                        <w:pStyle w:val="0"/>
                        <w:jc w:val="center"/>
                        <w:rPr>
                          <w:rFonts w:hint="default" w:ascii="メイリオ" w:hAnsi="メイリオ" w:eastAsia="メイリオ"/>
                          <w:sz w:val="24"/>
                        </w:rPr>
                      </w:pPr>
                      <w:r>
                        <w:rPr>
                          <w:rFonts w:hint="eastAsia" w:ascii="メイリオ" w:hAnsi="メイリオ" w:eastAsia="メイリオ"/>
                          <w:sz w:val="24"/>
                        </w:rPr>
                        <w:t>陸別町高齢者保健福祉計画</w:t>
                      </w:r>
                    </w:p>
                    <w:p>
                      <w:pPr>
                        <w:pStyle w:val="0"/>
                        <w:jc w:val="center"/>
                        <w:rPr>
                          <w:rFonts w:hint="default" w:ascii="メイリオ" w:hAnsi="メイリオ" w:eastAsia="メイリオ"/>
                          <w:sz w:val="24"/>
                        </w:rPr>
                      </w:pPr>
                      <w:r>
                        <w:rPr>
                          <w:rFonts w:hint="eastAsia" w:ascii="メイリオ" w:hAnsi="メイリオ" w:eastAsia="メイリオ"/>
                          <w:strike w:val="0"/>
                          <w:dstrike w:val="0"/>
                          <w:color w:val="FFFFFF" w:themeColor="background1"/>
                          <w:sz w:val="24"/>
                        </w:rPr>
                        <w:t>第</w:t>
                      </w:r>
                      <w:r>
                        <w:rPr>
                          <w:rFonts w:hint="eastAsia" w:ascii="メイリオ" w:hAnsi="メイリオ" w:eastAsia="メイリオ"/>
                          <w:strike w:val="0"/>
                          <w:dstrike w:val="0"/>
                          <w:color w:val="FFFFFF" w:themeColor="background1"/>
                          <w:sz w:val="24"/>
                        </w:rPr>
                        <w:t>9</w:t>
                      </w:r>
                      <w:r>
                        <w:rPr>
                          <w:rFonts w:hint="eastAsia" w:ascii="メイリオ" w:hAnsi="メイリオ" w:eastAsia="メイリオ"/>
                          <w:strike w:val="0"/>
                          <w:dstrike w:val="0"/>
                          <w:color w:val="FFFFFF" w:themeColor="background1"/>
                          <w:sz w:val="24"/>
                        </w:rPr>
                        <w:t>期</w:t>
                      </w:r>
                      <w:r>
                        <w:rPr>
                          <w:rFonts w:hint="eastAsia" w:ascii="メイリオ" w:hAnsi="メイリオ" w:eastAsia="メイリオ"/>
                          <w:sz w:val="24"/>
                        </w:rPr>
                        <w:t>介護保険事業計画</w:t>
                      </w:r>
                    </w:p>
                  </w:txbxContent>
                </v:textbox>
                <v:imagedata o:title=""/>
                <w10:wrap type="none" anchorx="margin" anchory="text"/>
              </v:roundrect>
            </w:pict>
          </mc:Fallback>
        </mc:AlternateContent>
      </w:r>
      <w:r>
        <w:rPr>
          <w:rFonts w:hint="eastAsia"/>
          <w:color w:val="000000" w:themeColor="text1"/>
        </w:rPr>
        <mc:AlternateContent>
          <mc:Choice Requires="wps">
            <w:drawing>
              <wp:anchor distT="0" distB="0" distL="114300" distR="114300" simplePos="0" relativeHeight="5" behindDoc="0" locked="0" layoutInCell="1" hidden="0" allowOverlap="1">
                <wp:simplePos x="0" y="0"/>
                <wp:positionH relativeFrom="margin">
                  <wp:posOffset>2946400</wp:posOffset>
                </wp:positionH>
                <wp:positionV relativeFrom="paragraph">
                  <wp:posOffset>264160</wp:posOffset>
                </wp:positionV>
                <wp:extent cx="2688590" cy="1239520"/>
                <wp:effectExtent l="635" t="635" r="29845" b="10795"/>
                <wp:wrapNone/>
                <wp:docPr id="1034" name="四角形: 角を丸くする 12"/>
                <a:graphic xmlns:a="http://schemas.openxmlformats.org/drawingml/2006/main">
                  <a:graphicData uri="http://schemas.microsoft.com/office/word/2010/wordprocessingShape">
                    <wps:wsp>
                      <wps:cNvPr id="1034" name="四角形: 角を丸くする 12"/>
                      <wps:cNvSpPr/>
                      <wps:spPr>
                        <a:xfrm>
                          <a:off x="0" y="0"/>
                          <a:ext cx="2688590" cy="123952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陸別町障がい福祉計画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陸別町健康増進計画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等の関連する計画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5;mso-wrap-distance-left:9pt;width:211.7pt;height:97.6pt;mso-position-horizontal-relative:margin;position:absolute;margin-left:232pt;margin-top:20.8pt;mso-wrap-distance-bottom:0pt;mso-wrap-distance-right:9pt;mso-wrap-distance-top:0pt;v-text-anchor:middle;" o:spid="_x0000_s1034" o:allowincell="t" o:allowoverlap="t" filled="t" fillcolor="#dae2f3 [660]"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陸別町障がい福祉計画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陸別町健康増進計画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等の関連する計画</w:t>
                      </w:r>
                    </w:p>
                  </w:txbxContent>
                </v:textbox>
                <v:imagedata o:title=""/>
                <w10:wrap type="none" anchorx="margin" anchory="text"/>
              </v:roundrect>
            </w:pict>
          </mc:Fallback>
        </mc:AlternateConten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7" behindDoc="0" locked="0" layoutInCell="1" hidden="0" allowOverlap="1">
                <wp:simplePos x="0" y="0"/>
                <wp:positionH relativeFrom="column">
                  <wp:posOffset>2214880</wp:posOffset>
                </wp:positionH>
                <wp:positionV relativeFrom="paragraph">
                  <wp:posOffset>129540</wp:posOffset>
                </wp:positionV>
                <wp:extent cx="1066800" cy="769620"/>
                <wp:effectExtent l="635" t="1270" r="29845" b="11430"/>
                <wp:wrapNone/>
                <wp:docPr id="1035" name="矢印: 左右 13"/>
                <a:graphic xmlns:a="http://schemas.openxmlformats.org/drawingml/2006/main">
                  <a:graphicData uri="http://schemas.microsoft.com/office/word/2010/wordprocessingShape">
                    <wps:wsp>
                      <wps:cNvPr id="1035" name="矢印: 左右 13"/>
                      <wps:cNvSpPr/>
                      <wps:spPr>
                        <a:xfrm>
                          <a:off x="0" y="0"/>
                          <a:ext cx="1066800" cy="769620"/>
                        </a:xfrm>
                        <a:prstGeom prst="leftRightArrow">
                          <a:avLst>
                            <a:gd name="adj1" fmla="val 46361"/>
                            <a:gd name="adj2" fmla="val 32931"/>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連携・調和</w:t>
                            </w:r>
                          </w:p>
                        </w:txbxContent>
                      </wps:txbx>
                      <wps:bodyPr rot="0" vertOverflow="overflow" horzOverflow="overflow" wrap="square" numCol="1" spcCol="0" rtlCol="0" fromWordArt="0" anchor="ctr" anchorCtr="0" forceAA="0" compatLnSpc="1"/>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3" style="mso-position-vertical-relative:text;z-index:7;mso-wrap-distance-left:9pt;width:84pt;height:60.6pt;mso-position-horizontal-relative:text;position:absolute;margin-left:174.4pt;margin-top:10.19pt;mso-wrap-distance-bottom:0pt;mso-wrap-distance-right:9pt;mso-wrap-distance-top:0pt;v-text-anchor:middle;" o:spid="_x0000_s1035" o:allowincell="t" o:allowoverlap="t" filled="t" fillcolor="#ffffff [3212]" stroked="t" strokecolor="#1c2e52" strokeweight="1pt" o:spt="69" type="#_x0000_t69" adj="7113,5793">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連携・調和</w:t>
                      </w:r>
                    </w:p>
                  </w:txbxContent>
                </v:textbox>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1" behindDoc="0" locked="0" layoutInCell="1" hidden="0" allowOverlap="1">
                <wp:simplePos x="0" y="0"/>
                <wp:positionH relativeFrom="column">
                  <wp:posOffset>2476500</wp:posOffset>
                </wp:positionH>
                <wp:positionV relativeFrom="paragraph">
                  <wp:posOffset>168275</wp:posOffset>
                </wp:positionV>
                <wp:extent cx="523875" cy="985520"/>
                <wp:effectExtent l="1270" t="635" r="30480" b="10795"/>
                <wp:wrapNone/>
                <wp:docPr id="1036" name="矢印: 上下 15"/>
                <a:graphic xmlns:a="http://schemas.openxmlformats.org/drawingml/2006/main">
                  <a:graphicData uri="http://schemas.microsoft.com/office/word/2010/wordprocessingShape">
                    <wps:wsp>
                      <wps:cNvPr id="1036" name="矢印: 上下 15"/>
                      <wps:cNvSpPr/>
                      <wps:spPr>
                        <a:xfrm>
                          <a:off x="0" y="0"/>
                          <a:ext cx="523875" cy="985520"/>
                        </a:xfrm>
                        <a:prstGeom prst="upDown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5" style="mso-position-vertical-relative:text;z-index:11;mso-wrap-distance-left:9pt;width:41.25pt;height:77.59pt;mso-position-horizontal-relative:text;position:absolute;margin-left:195pt;margin-top:13.25pt;mso-wrap-distance-bottom:0pt;mso-wrap-distance-right:9pt;mso-wrap-distance-top:0pt;v-text-anchor:middle;" o:spid="_x0000_s1036" o:allowincell="t" o:allowoverlap="t" filled="t" fillcolor="#ffffff [3212]" stroked="t" strokecolor="#1c2e52" strokeweight="1pt" o:spt="70" type="#_x0000_t70" adj="5400,10800">
                <v:fill/>
                <v:stroke linestyle="single" miterlimit="8" endcap="flat" dashstyle="solid" filltype="solid"/>
                <v:textbox style="layout-flow:horizontal;">
                  <w:txbxContent>
                    <w:p>
                      <w:pPr>
                        <w:pStyle w:val="0"/>
                        <w:jc w:val="center"/>
                        <w:rPr>
                          <w:rFonts w:hint="default"/>
                        </w:rPr>
                      </w:pPr>
                    </w:p>
                  </w:txbxContent>
                </v:textbox>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3" behindDoc="0" locked="0" layoutInCell="1" hidden="0" allowOverlap="1">
                <wp:simplePos x="0" y="0"/>
                <wp:positionH relativeFrom="margin">
                  <wp:posOffset>2545080</wp:posOffset>
                </wp:positionH>
                <wp:positionV relativeFrom="paragraph">
                  <wp:posOffset>50165</wp:posOffset>
                </wp:positionV>
                <wp:extent cx="398145" cy="732790"/>
                <wp:effectExtent l="0" t="0" r="635" b="635"/>
                <wp:wrapNone/>
                <wp:docPr id="1037" name="テキスト ボックス 16"/>
                <a:graphic xmlns:a="http://schemas.openxmlformats.org/drawingml/2006/main">
                  <a:graphicData uri="http://schemas.microsoft.com/office/word/2010/wordprocessingShape">
                    <wps:wsp>
                      <wps:cNvPr id="1037" name="テキスト ボックス 16"/>
                      <wps:cNvSpPr txBox="1"/>
                      <wps:spPr>
                        <a:xfrm>
                          <a:off x="0" y="0"/>
                          <a:ext cx="398145" cy="732790"/>
                        </a:xfrm>
                        <a:prstGeom prst="rect">
                          <a:avLst/>
                        </a:prstGeom>
                        <a:noFill/>
                        <a:ln w="6350">
                          <a:noFill/>
                        </a:ln>
                      </wps:spPr>
                      <wps:txbx>
                        <w:txbxContent>
                          <w:p>
                            <w:pPr>
                              <w:pStyle w:val="0"/>
                              <w:rPr>
                                <w:rFonts w:hint="default" w:ascii="メイリオ" w:hAnsi="メイリオ" w:eastAsia="メイリオ"/>
                                <w:sz w:val="18"/>
                              </w:rPr>
                            </w:pPr>
                            <w:r>
                              <w:rPr>
                                <w:rFonts w:hint="eastAsia" w:ascii="メイリオ" w:hAnsi="メイリオ" w:eastAsia="メイリオ"/>
                                <w:sz w:val="18"/>
                              </w:rPr>
                              <w:t>連携・調和</w:t>
                            </w:r>
                          </w:p>
                        </w:txbxContent>
                      </wps:txbx>
                      <wps:bodyPr rot="0" vertOverflow="overflow" horzOverflow="overflow" vert="eaVert"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mso-position-vertical-relative:text;z-index:13;mso-wrap-distance-left:9pt;width:31.35pt;height:57.7pt;mso-position-horizontal-relative:margin;position:absolute;margin-left:200.4pt;margin-top:3.95pt;mso-wrap-distance-bottom:0pt;mso-wrap-distance-right:9pt;mso-wrap-distance-top:0pt;v-text-anchor:top;" o:spid="_x0000_s1037" o:allowincell="t" o:allowoverlap="t" filled="f" stroked="f" strokeweight="0.5pt" o:spt="202" type="#_x0000_t202">
                <v:fill/>
                <v:textbox style="layout-flow:vertical-ideographic;">
                  <w:txbxContent>
                    <w:p>
                      <w:pPr>
                        <w:pStyle w:val="0"/>
                        <w:rPr>
                          <w:rFonts w:hint="default" w:ascii="メイリオ" w:hAnsi="メイリオ" w:eastAsia="メイリオ"/>
                          <w:sz w:val="18"/>
                        </w:rPr>
                      </w:pPr>
                      <w:r>
                        <w:rPr>
                          <w:rFonts w:hint="eastAsia" w:ascii="メイリオ" w:hAnsi="メイリオ" w:eastAsia="メイリオ"/>
                          <w:sz w:val="18"/>
                        </w:rPr>
                        <w:t>連携・調和</w:t>
                      </w:r>
                    </w:p>
                  </w:txbxContent>
                </v:textbox>
                <v:imagedata o:title=""/>
                <w10:wrap type="none" anchorx="margin" anchory="text"/>
              </v:shape>
            </w:pict>
          </mc:Fallback>
        </mc:AlternateConten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2" behindDoc="0" locked="0" layoutInCell="1" hidden="0" allowOverlap="1">
                <wp:simplePos x="0" y="0"/>
                <wp:positionH relativeFrom="column">
                  <wp:posOffset>2880995</wp:posOffset>
                </wp:positionH>
                <wp:positionV relativeFrom="paragraph">
                  <wp:posOffset>108585</wp:posOffset>
                </wp:positionV>
                <wp:extent cx="2335530" cy="461010"/>
                <wp:effectExtent l="635" t="635" r="29845" b="10795"/>
                <wp:wrapNone/>
                <wp:docPr id="1038" name="四角形: 角を丸くする 12"/>
                <a:graphic xmlns:a="http://schemas.openxmlformats.org/drawingml/2006/main">
                  <a:graphicData uri="http://schemas.microsoft.com/office/word/2010/wordprocessingShape">
                    <wps:wsp>
                      <wps:cNvPr id="1038" name="四角形: 角を丸くする 12"/>
                      <wps:cNvSpPr/>
                      <wps:spPr>
                        <a:xfrm>
                          <a:off x="0" y="0"/>
                          <a:ext cx="2335530" cy="4610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地域防災計画等その他の計画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12;mso-wrap-distance-left:9pt;width:183.9pt;height:36.29pt;mso-position-horizontal-relative:text;position:absolute;margin-left:226.85pt;margin-top:8.5500000000000007pt;mso-wrap-distance-bottom:0pt;mso-wrap-distance-right:9pt;mso-wrap-distance-top:0pt;v-text-anchor:middle;" o:spid="_x0000_s1038" o:allowincell="t" o:allowoverlap="t" filled="f"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地域防災計画等その他の計画</w:t>
                      </w:r>
                    </w:p>
                  </w:txbxContent>
                </v:textbox>
                <v:imagedata o:title=""/>
                <w10:wrap type="none" anchorx="text" anchory="text"/>
              </v:roundrect>
            </w:pict>
          </mc:Fallback>
        </mc:AlternateContent>
      </w:r>
      <w:r>
        <w:rPr>
          <w:rFonts w:hint="default" w:ascii="メイリオ" w:hAnsi="メイリオ" w:eastAsia="メイリオ"/>
          <w:color w:val="000000" w:themeColor="text1"/>
          <w:sz w:val="24"/>
        </w:rPr>
        <mc:AlternateContent>
          <mc:Choice Requires="wps">
            <w:drawing>
              <wp:anchor distT="0" distB="0" distL="114300" distR="114300" simplePos="0" relativeHeight="8" behindDoc="0" locked="0" layoutInCell="1" hidden="0" allowOverlap="1">
                <wp:simplePos x="0" y="0"/>
                <wp:positionH relativeFrom="column">
                  <wp:posOffset>247015</wp:posOffset>
                </wp:positionH>
                <wp:positionV relativeFrom="paragraph">
                  <wp:posOffset>81915</wp:posOffset>
                </wp:positionV>
                <wp:extent cx="2335530" cy="461010"/>
                <wp:effectExtent l="635" t="635" r="29845" b="10795"/>
                <wp:wrapNone/>
                <wp:docPr id="1039" name="四角形: 角を丸くする 12"/>
                <a:graphic xmlns:a="http://schemas.openxmlformats.org/drawingml/2006/main">
                  <a:graphicData uri="http://schemas.microsoft.com/office/word/2010/wordprocessingShape">
                    <wps:wsp>
                      <wps:cNvPr id="1039" name="四角形: 角を丸くする 12"/>
                      <wps:cNvSpPr/>
                      <wps:spPr>
                        <a:xfrm>
                          <a:off x="0" y="0"/>
                          <a:ext cx="2335530" cy="46101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国・北海道の計画・方針等</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2" style="mso-position-vertical-relative:text;z-index:8;mso-wrap-distance-left:9pt;width:183.9pt;height:36.29pt;mso-position-horizontal-relative:text;position:absolute;margin-left:19.45pt;margin-top:6.45pt;mso-wrap-distance-bottom:0pt;mso-wrap-distance-right:9pt;mso-wrap-distance-top:0pt;v-text-anchor:middle;" o:spid="_x0000_s1039" o:allowincell="t" o:allowoverlap="t" filled="f"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国・北海道の計画・方針等</w:t>
                      </w:r>
                    </w:p>
                  </w:txbxContent>
                </v:textbox>
                <v:imagedata o:title=""/>
                <w10:wrap type="none" anchorx="text" anchory="text"/>
              </v:roundrect>
            </w:pict>
          </mc:Fallback>
        </mc:AlternateConten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4" w:name="_Toc154129920"/>
      <w:r>
        <w:rPr>
          <w:rFonts w:hint="eastAsia"/>
          <w:color w:val="000000" w:themeColor="text1"/>
        </w:rPr>
        <w:t>第３節　計画の期間</w:t>
      </w:r>
      <w:bookmarkEnd w:id="4"/>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「介護保険事業計画」は３年ごとに見直しを行うこととなっています。したがって、今回策定する「第９期介護保険事業計画」の期間は令和</w:t>
      </w:r>
      <w:r>
        <w:rPr>
          <w:rFonts w:hint="eastAsia" w:ascii="メイリオ" w:hAnsi="メイリオ" w:eastAsia="メイリオ"/>
          <w:color w:val="000000" w:themeColor="text1"/>
          <w:sz w:val="24"/>
        </w:rPr>
        <w:t>6(</w:t>
      </w:r>
      <w:r>
        <w:rPr>
          <w:rFonts w:hint="default" w:ascii="メイリオ" w:hAnsi="メイリオ" w:eastAsia="メイリオ"/>
          <w:color w:val="000000" w:themeColor="text1"/>
          <w:sz w:val="24"/>
        </w:rPr>
        <w:t>202</w:t>
      </w:r>
      <w:r>
        <w:rPr>
          <w:rFonts w:hint="eastAsia" w:ascii="メイリオ" w:hAnsi="メイリオ" w:eastAsia="メイリオ"/>
          <w:color w:val="000000" w:themeColor="text1"/>
          <w:sz w:val="24"/>
        </w:rPr>
        <w:t>4)</w:t>
      </w:r>
      <w:r>
        <w:rPr>
          <w:rFonts w:hint="default" w:ascii="メイリオ" w:hAnsi="メイリオ" w:eastAsia="メイリオ"/>
          <w:color w:val="000000" w:themeColor="text1"/>
          <w:sz w:val="24"/>
        </w:rPr>
        <w:t>年度</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から令和</w:t>
      </w:r>
      <w:r>
        <w:rPr>
          <w:rFonts w:hint="eastAsia" w:ascii="メイリオ" w:hAnsi="メイリオ" w:eastAsia="メイリオ"/>
          <w:color w:val="000000" w:themeColor="text1"/>
          <w:sz w:val="24"/>
        </w:rPr>
        <w:t>8(</w:t>
      </w:r>
      <w:r>
        <w:rPr>
          <w:rFonts w:hint="default" w:ascii="メイリオ" w:hAnsi="メイリオ" w:eastAsia="メイリオ"/>
          <w:color w:val="000000" w:themeColor="text1"/>
          <w:sz w:val="24"/>
        </w:rPr>
        <w:t>202</w:t>
      </w:r>
      <w:r>
        <w:rPr>
          <w:rFonts w:hint="eastAsia" w:ascii="メイリオ" w:hAnsi="メイリオ" w:eastAsia="メイリオ"/>
          <w:color w:val="000000" w:themeColor="text1"/>
          <w:sz w:val="24"/>
        </w:rPr>
        <w:t>6)</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年度とします。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また、「高齢者福祉計画」も「介護保険事業計画」と一体的に策定することとされていることから、同３年間を計画期間と定めます。</w:t>
      </w:r>
    </w:p>
    <w:p>
      <w:pPr>
        <w:pStyle w:val="0"/>
        <w:rPr>
          <w:rFonts w:hint="default" w:ascii="メイリオ" w:hAnsi="メイリオ" w:eastAsia="メイリオ"/>
          <w:color w:val="000000" w:themeColor="text1"/>
          <w:sz w:val="24"/>
        </w:rPr>
      </w:pPr>
    </w:p>
    <w:tbl>
      <w:tblPr>
        <w:tblStyle w:val="64"/>
        <w:tblW w:w="8494" w:type="dxa"/>
        <w:tblInd w:w="0" w:type="dxa"/>
        <w:tblLayout w:type="fixed"/>
        <w:tblLook w:firstRow="1" w:lastRow="0" w:firstColumn="1" w:lastColumn="0" w:noHBand="0" w:noVBand="1" w:val="04A0"/>
      </w:tblPr>
      <w:tblGrid>
        <w:gridCol w:w="775"/>
        <w:gridCol w:w="775"/>
        <w:gridCol w:w="775"/>
        <w:gridCol w:w="775"/>
        <w:gridCol w:w="776"/>
        <w:gridCol w:w="776"/>
        <w:gridCol w:w="776"/>
        <w:gridCol w:w="776"/>
        <w:gridCol w:w="776"/>
        <w:gridCol w:w="776"/>
        <w:gridCol w:w="738"/>
      </w:tblGrid>
      <w:tr>
        <w:trPr/>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Ｒ３</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2021</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4</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2022</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5</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2023</w:t>
            </w:r>
          </w:p>
        </w:tc>
        <w:tc>
          <w:tcPr>
            <w:tcW w:w="813" w:type="dxa"/>
            <w:shd w:val="clear" w:color="auto" w:themeFill="background1" w:themeFillTint="FF" w:themeFillShade="BF"/>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6</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2024</w:t>
            </w:r>
          </w:p>
        </w:tc>
        <w:tc>
          <w:tcPr>
            <w:tcW w:w="813" w:type="dxa"/>
            <w:shd w:val="clear" w:color="auto" w:themeFill="background1" w:themeFillTint="FF" w:themeFillShade="BF"/>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7</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2025</w:t>
            </w:r>
          </w:p>
        </w:tc>
        <w:tc>
          <w:tcPr>
            <w:tcW w:w="813" w:type="dxa"/>
            <w:shd w:val="clear" w:color="auto" w:themeFill="background1" w:themeFillTint="FF" w:themeFillShade="BF"/>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8</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2026</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9</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2027</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R10</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2028</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R11</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2029</w:t>
            </w:r>
          </w:p>
        </w:tc>
        <w:tc>
          <w:tcPr>
            <w:tcW w:w="813" w:type="dxa"/>
            <w:vAlign w:val="top"/>
          </w:tcPr>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Ｒ</w:t>
            </w:r>
            <w:r>
              <w:rPr>
                <w:rFonts w:hint="eastAsia" w:ascii="メイリオ" w:hAnsi="メイリオ" w:eastAsia="メイリオ"/>
                <w:color w:val="000000" w:themeColor="text1"/>
                <w:sz w:val="18"/>
              </w:rPr>
              <w:t>12</w:t>
            </w:r>
          </w:p>
          <w:p>
            <w:pPr>
              <w:pStyle w:val="0"/>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2030</w:t>
            </w:r>
          </w:p>
        </w:tc>
        <w:tc>
          <w:tcPr>
            <w:tcW w:w="773" w:type="dxa"/>
            <w:vAlign w:val="top"/>
          </w:tcPr>
          <w:p>
            <w:pPr>
              <w:pStyle w:val="0"/>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w:t>
            </w:r>
          </w:p>
        </w:tc>
      </w:tr>
      <w:tr>
        <w:trPr/>
        <w:tc>
          <w:tcPr>
            <w:tcW w:w="813" w:type="dxa"/>
            <w:vAlign w:val="top"/>
          </w:tcPr>
          <w:p>
            <w:pPr>
              <w:pStyle w:val="0"/>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18" behindDoc="0" locked="0" layoutInCell="1" hidden="0" allowOverlap="1">
                      <wp:simplePos x="0" y="0"/>
                      <wp:positionH relativeFrom="column">
                        <wp:posOffset>-67945</wp:posOffset>
                      </wp:positionH>
                      <wp:positionV relativeFrom="paragraph">
                        <wp:posOffset>80010</wp:posOffset>
                      </wp:positionV>
                      <wp:extent cx="4084955" cy="570230"/>
                      <wp:effectExtent l="635" t="635" r="29845" b="10795"/>
                      <wp:wrapNone/>
                      <wp:docPr id="1040" name="四角形: 角を丸くする 1"/>
                      <a:graphic xmlns:a="http://schemas.openxmlformats.org/drawingml/2006/main">
                        <a:graphicData uri="http://schemas.microsoft.com/office/word/2010/wordprocessingShape">
                          <wps:wsp>
                            <wps:cNvPr id="1040" name="四角形: 角を丸くする 1"/>
                            <wps:cNvSpPr/>
                            <wps:spPr>
                              <a:xfrm>
                                <a:off x="0" y="0"/>
                                <a:ext cx="4084955" cy="570230"/>
                              </a:xfrm>
                              <a:prstGeom prst="roundRect">
                                <a:avLst/>
                              </a:prstGeom>
                              <a:solidFill>
                                <a:sysClr val="window" lastClr="FFFFFF"/>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陸別町総合計画（</w:t>
                                  </w:r>
                                  <w:r>
                                    <w:rPr>
                                      <w:rFonts w:hint="eastAsia" w:ascii="メイリオ" w:hAnsi="メイリオ" w:eastAsia="メイリオ"/>
                                      <w:b w:val="0"/>
                                      <w:color w:val="000000" w:themeColor="text1"/>
                                      <w:u w:val="none" w:color="auto"/>
                                    </w:rPr>
                                    <w:t>令和２年度～令和</w:t>
                                  </w:r>
                                  <w:r>
                                    <w:rPr>
                                      <w:rFonts w:hint="eastAsia" w:ascii="メイリオ" w:hAnsi="メイリオ" w:eastAsia="メイリオ"/>
                                      <w:b w:val="0"/>
                                      <w:color w:val="000000" w:themeColor="text1"/>
                                      <w:u w:val="none" w:color="auto"/>
                                    </w:rPr>
                                    <w:t>11</w:t>
                                  </w:r>
                                  <w:r>
                                    <w:rPr>
                                      <w:rFonts w:hint="eastAsia" w:ascii="メイリオ" w:hAnsi="メイリオ" w:eastAsia="メイリオ"/>
                                      <w:b w:val="0"/>
                                      <w:color w:val="000000" w:themeColor="text1"/>
                                      <w:u w:val="none" w:color="auto"/>
                                    </w:rPr>
                                    <w:t>年度</w:t>
                                  </w:r>
                                  <w:r>
                                    <w:rPr>
                                      <w:rFonts w:hint="eastAsia" w:ascii="メイリオ" w:hAnsi="メイリオ" w:eastAsia="メイリオ"/>
                                      <w:color w:val="000000" w:themeColor="text1"/>
                                    </w:rPr>
                                    <w:t>）</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 style="mso-position-vertical-relative:text;z-index:18;mso-wrap-distance-left:9pt;width:321.64pt;height:44.9pt;mso-position-horizontal-relative:text;position:absolute;margin-left:-5.35pt;margin-top:6.3pt;mso-wrap-distance-bottom:0pt;mso-wrap-distance-right:9pt;mso-wrap-distance-top:0pt;v-text-anchor:middle;" o:spid="_x0000_s1040" o:allowincell="t" o:allowoverlap="t" filled="t" fillcolor="#ffffff"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陸別町総合計画（</w:t>
                            </w:r>
                            <w:r>
                              <w:rPr>
                                <w:rFonts w:hint="eastAsia" w:ascii="メイリオ" w:hAnsi="メイリオ" w:eastAsia="メイリオ"/>
                                <w:b w:val="0"/>
                                <w:color w:val="000000" w:themeColor="text1"/>
                                <w:u w:val="none" w:color="auto"/>
                              </w:rPr>
                              <w:t>令和２年度～令和</w:t>
                            </w:r>
                            <w:r>
                              <w:rPr>
                                <w:rFonts w:hint="eastAsia" w:ascii="メイリオ" w:hAnsi="メイリオ" w:eastAsia="メイリオ"/>
                                <w:b w:val="0"/>
                                <w:color w:val="000000" w:themeColor="text1"/>
                                <w:u w:val="none" w:color="auto"/>
                              </w:rPr>
                              <w:t>11</w:t>
                            </w:r>
                            <w:r>
                              <w:rPr>
                                <w:rFonts w:hint="eastAsia" w:ascii="メイリオ" w:hAnsi="メイリオ" w:eastAsia="メイリオ"/>
                                <w:b w:val="0"/>
                                <w:color w:val="000000" w:themeColor="text1"/>
                                <w:u w:val="none" w:color="auto"/>
                              </w:rPr>
                              <w:t>年度</w:t>
                            </w:r>
                            <w:r>
                              <w:rPr>
                                <w:rFonts w:hint="eastAsia" w:ascii="メイリオ" w:hAnsi="メイリオ" w:eastAsia="メイリオ"/>
                                <w:color w:val="000000" w:themeColor="text1"/>
                              </w:rPr>
                              <w:t>）</w:t>
                            </w:r>
                          </w:p>
                        </w:txbxContent>
                      </v:textbox>
                      <v:imagedata o:title=""/>
                      <w10:wrap type="none" anchorx="text" anchory="text"/>
                    </v:roundrect>
                  </w:pict>
                </mc:Fallback>
              </mc:AlternateContent>
            </w: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19" behindDoc="0" locked="0" layoutInCell="1" hidden="0" allowOverlap="1">
                      <wp:simplePos x="0" y="0"/>
                      <wp:positionH relativeFrom="column">
                        <wp:posOffset>-67945</wp:posOffset>
                      </wp:positionH>
                      <wp:positionV relativeFrom="paragraph">
                        <wp:posOffset>717550</wp:posOffset>
                      </wp:positionV>
                      <wp:extent cx="2605405" cy="658495"/>
                      <wp:effectExtent l="635" t="635" r="29845" b="10795"/>
                      <wp:wrapNone/>
                      <wp:docPr id="1041" name="四角形: 角を丸くする 1"/>
                      <a:graphic xmlns:a="http://schemas.openxmlformats.org/drawingml/2006/main">
                        <a:graphicData uri="http://schemas.microsoft.com/office/word/2010/wordprocessingShape">
                          <wps:wsp>
                            <wps:cNvPr id="1041" name="四角形: 角を丸くする 1"/>
                            <wps:cNvSpPr/>
                            <wps:spPr>
                              <a:xfrm>
                                <a:off x="0" y="0"/>
                                <a:ext cx="2605405" cy="658495"/>
                              </a:xfrm>
                              <a:prstGeom prst="roundRect">
                                <a:avLst/>
                              </a:prstGeom>
                              <a:solidFill>
                                <a:sysClr val="window" lastClr="FFFFFF"/>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陸別町地域福祉計画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r>
                                    <w:rPr>
                                      <w:rFonts w:hint="eastAsia" w:ascii="メイリオ" w:hAnsi="メイリオ" w:eastAsia="メイリオ"/>
                                      <w:b w:val="0"/>
                                      <w:color w:val="000000" w:themeColor="text1"/>
                                      <w:u w:val="none" w:color="auto"/>
                                    </w:rPr>
                                    <w:t>令和４年度～令和８年度</w:t>
                                  </w:r>
                                  <w:r>
                                    <w:rPr>
                                      <w:rFonts w:hint="eastAsia" w:ascii="メイリオ" w:hAnsi="メイリオ" w:eastAsia="メイリオ"/>
                                      <w:color w:val="000000" w:themeColor="text1"/>
                                    </w:rPr>
                                    <w:t>）</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1" style="mso-position-vertical-relative:text;z-index:19;mso-wrap-distance-left:9pt;width:205.15pt;height:51.85pt;mso-position-horizontal-relative:text;position:absolute;margin-left:-5.35pt;margin-top:56.5pt;mso-wrap-distance-bottom:0pt;mso-wrap-distance-right:9pt;mso-wrap-distance-top:0pt;v-text-anchor:middle;" o:spid="_x0000_s1041" o:allowincell="t" o:allowoverlap="t" filled="t" fillcolor="#ffffff" stroked="t" strokecolor="#1c2e52" strokeweight="1pt" o:spt="2" arcsize="10923f">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陸別町地域福祉計画</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r>
                              <w:rPr>
                                <w:rFonts w:hint="eastAsia" w:ascii="メイリオ" w:hAnsi="メイリオ" w:eastAsia="メイリオ"/>
                                <w:b w:val="0"/>
                                <w:color w:val="000000" w:themeColor="text1"/>
                                <w:u w:val="none" w:color="auto"/>
                              </w:rPr>
                              <w:t>令和４年度～令和８年度</w:t>
                            </w:r>
                            <w:r>
                              <w:rPr>
                                <w:rFonts w:hint="eastAsia" w:ascii="メイリオ" w:hAnsi="メイリオ" w:eastAsia="メイリオ"/>
                                <w:color w:val="000000" w:themeColor="text1"/>
                              </w:rPr>
                              <w:t>）</w:t>
                            </w:r>
                          </w:p>
                        </w:txbxContent>
                      </v:textbox>
                      <v:imagedata o:title=""/>
                      <w10:wrap type="none" anchorx="text" anchory="text"/>
                    </v:roundrect>
                  </w:pict>
                </mc:Fallback>
              </mc:AlternateContent>
            </w: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773" w:type="dxa"/>
            <w:vAlign w:val="top"/>
          </w:tcPr>
          <w:p>
            <w:pPr>
              <w:pStyle w:val="0"/>
              <w:rPr>
                <w:rFonts w:hint="default" w:ascii="メイリオ" w:hAnsi="メイリオ" w:eastAsia="メイリオ"/>
                <w:color w:val="000000" w:themeColor="text1"/>
                <w:sz w:val="24"/>
              </w:rPr>
            </w:pPr>
          </w:p>
        </w:tc>
      </w:tr>
      <w:tr>
        <w:trPr/>
        <w:tc>
          <w:tcPr>
            <w:tcW w:w="813" w:type="dxa"/>
            <w:vAlign w:val="top"/>
          </w:tcPr>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7" behindDoc="0" locked="0" layoutInCell="1" hidden="0" allowOverlap="1">
                      <wp:simplePos x="0" y="0"/>
                      <wp:positionH relativeFrom="column">
                        <wp:posOffset>-69215</wp:posOffset>
                      </wp:positionH>
                      <wp:positionV relativeFrom="paragraph">
                        <wp:posOffset>137795</wp:posOffset>
                      </wp:positionV>
                      <wp:extent cx="1546860" cy="379095"/>
                      <wp:effectExtent l="635" t="635" r="29845" b="10795"/>
                      <wp:wrapNone/>
                      <wp:docPr id="1042" name="矢印: 五方向 2"/>
                      <a:graphic xmlns:a="http://schemas.openxmlformats.org/drawingml/2006/main">
                        <a:graphicData uri="http://schemas.microsoft.com/office/word/2010/wordprocessingShape">
                          <wps:wsp>
                            <wps:cNvPr id="1042" name="矢印: 五方向 2"/>
                            <wps:cNvSpPr/>
                            <wps:spPr>
                              <a:xfrm>
                                <a:off x="0" y="0"/>
                                <a:ext cx="1546860" cy="379095"/>
                              </a:xfrm>
                              <a:prstGeom prst="homePlate">
                                <a:avLst/>
                              </a:prstGeom>
                              <a:solidFill>
                                <a:sysClr val="window" lastClr="FFFFFF">
                                  <a:lumMod val="85000"/>
                                </a:sysClr>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第８期計画</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 style="mso-position-vertical-relative:text;z-index:17;mso-wrap-distance-left:9pt;width:121.8pt;height:29.85pt;mso-position-horizontal-relative:text;position:absolute;margin-left:-5.45pt;margin-top:10.85pt;mso-wrap-distance-bottom:0pt;mso-wrap-distance-right:9pt;mso-wrap-distance-top:0pt;v-text-anchor:middle;" o:spid="_x0000_s1042" o:allowincell="t" o:allowoverlap="t" filled="t" fillcolor="#d9d9d9" stroked="t" strokecolor="#1c2e52" strokeweight="1pt" o:spt="15" type="#_x0000_t15" adj="10800">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第８期計画</w:t>
                            </w:r>
                          </w:p>
                        </w:txbxContent>
                      </v:textbox>
                      <v:imagedata o:title=""/>
                      <w10:wrap type="none" anchorx="text" anchory="text"/>
                    </v:shape>
                  </w:pict>
                </mc:Fallback>
              </mc:AlternateContent>
            </w: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5" behindDoc="0" locked="0" layoutInCell="1" hidden="0" allowOverlap="1">
                      <wp:simplePos x="0" y="0"/>
                      <wp:positionH relativeFrom="column">
                        <wp:posOffset>-1077595</wp:posOffset>
                      </wp:positionH>
                      <wp:positionV relativeFrom="paragraph">
                        <wp:posOffset>269875</wp:posOffset>
                      </wp:positionV>
                      <wp:extent cx="1546860" cy="716915"/>
                      <wp:effectExtent l="635" t="635" r="29845" b="10795"/>
                      <wp:wrapNone/>
                      <wp:docPr id="1043" name="矢印: 五方向 2"/>
                      <a:graphic xmlns:a="http://schemas.openxmlformats.org/drawingml/2006/main">
                        <a:graphicData uri="http://schemas.microsoft.com/office/word/2010/wordprocessingShape">
                          <wps:wsp>
                            <wps:cNvPr id="1043" name="矢印: 五方向 2"/>
                            <wps:cNvSpPr/>
                            <wps:spPr>
                              <a:xfrm>
                                <a:off x="0" y="0"/>
                                <a:ext cx="1546860" cy="716915"/>
                              </a:xfrm>
                              <a:prstGeom prst="homePlate">
                                <a:avLst>
                                  <a:gd name="adj" fmla="val 32295"/>
                                </a:avLst>
                              </a:prstGeom>
                              <a:solidFill>
                                <a:sysClr val="window" lastClr="FFFFFF">
                                  <a:lumMod val="50000"/>
                                </a:sysClr>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b w:val="1"/>
                                      <w:color w:val="000000" w:themeColor="text1"/>
                                      <w:sz w:val="28"/>
                                    </w:rPr>
                                  </w:pPr>
                                  <w:r>
                                    <w:rPr>
                                      <w:rFonts w:hint="eastAsia" w:ascii="メイリオ" w:hAnsi="メイリオ" w:eastAsia="メイリオ"/>
                                      <w:b w:val="1"/>
                                      <w:color w:val="000000" w:themeColor="text1"/>
                                      <w:sz w:val="28"/>
                                    </w:rPr>
                                    <w:t>第</w:t>
                                  </w:r>
                                  <w:r>
                                    <w:rPr>
                                      <w:rFonts w:hint="eastAsia" w:ascii="メイリオ" w:hAnsi="メイリオ" w:eastAsia="メイリオ"/>
                                      <w:b w:val="1"/>
                                      <w:color w:val="000000" w:themeColor="text1"/>
                                      <w:sz w:val="28"/>
                                    </w:rPr>
                                    <w:t>9</w:t>
                                  </w:r>
                                  <w:r>
                                    <w:rPr>
                                      <w:rFonts w:hint="eastAsia" w:ascii="メイリオ" w:hAnsi="メイリオ" w:eastAsia="メイリオ"/>
                                      <w:b w:val="1"/>
                                      <w:color w:val="000000" w:themeColor="text1"/>
                                      <w:sz w:val="28"/>
                                    </w:rPr>
                                    <w:t>期計画</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 style="mso-position-vertical-relative:text;z-index:15;mso-wrap-distance-left:9pt;width:121.8pt;height:56.45pt;mso-position-horizontal-relative:text;position:absolute;margin-left:-84.85pt;margin-top:21.25pt;mso-wrap-distance-bottom:0pt;mso-wrap-distance-right:9pt;mso-wrap-distance-top:0pt;v-text-anchor:middle;" o:spid="_x0000_s1043" o:allowincell="t" o:allowoverlap="t" filled="t" fillcolor="#808080" stroked="t" strokecolor="#1c2e52" strokeweight="1pt" o:spt="15" type="#_x0000_t15" adj="14624">
                      <v:fill/>
                      <v:stroke linestyle="single" miterlimit="8" endcap="flat" dashstyle="solid" filltype="solid"/>
                      <v:textbox style="layout-flow:horizontal;">
                        <w:txbxContent>
                          <w:p>
                            <w:pPr>
                              <w:pStyle w:val="0"/>
                              <w:jc w:val="center"/>
                              <w:rPr>
                                <w:rFonts w:hint="default" w:ascii="メイリオ" w:hAnsi="メイリオ" w:eastAsia="メイリオ"/>
                                <w:b w:val="1"/>
                                <w:color w:val="000000" w:themeColor="text1"/>
                                <w:sz w:val="28"/>
                              </w:rPr>
                            </w:pPr>
                            <w:r>
                              <w:rPr>
                                <w:rFonts w:hint="eastAsia" w:ascii="メイリオ" w:hAnsi="メイリオ" w:eastAsia="メイリオ"/>
                                <w:b w:val="1"/>
                                <w:color w:val="000000" w:themeColor="text1"/>
                                <w:sz w:val="28"/>
                              </w:rPr>
                              <w:t>第</w:t>
                            </w:r>
                            <w:r>
                              <w:rPr>
                                <w:rFonts w:hint="eastAsia" w:ascii="メイリオ" w:hAnsi="メイリオ" w:eastAsia="メイリオ"/>
                                <w:b w:val="1"/>
                                <w:color w:val="000000" w:themeColor="text1"/>
                                <w:sz w:val="28"/>
                              </w:rPr>
                              <w:t>9</w:t>
                            </w:r>
                            <w:r>
                              <w:rPr>
                                <w:rFonts w:hint="eastAsia" w:ascii="メイリオ" w:hAnsi="メイリオ" w:eastAsia="メイリオ"/>
                                <w:b w:val="1"/>
                                <w:color w:val="000000" w:themeColor="text1"/>
                                <w:sz w:val="28"/>
                              </w:rPr>
                              <w:t>期計画</w:t>
                            </w:r>
                          </w:p>
                        </w:txbxContent>
                      </v:textbox>
                      <v:imagedata o:title=""/>
                      <w10:wrap type="none" anchorx="text" anchory="text"/>
                    </v:shape>
                  </w:pict>
                </mc:Fallback>
              </mc:AlternateContent>
            </w: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16" behindDoc="0" locked="0" layoutInCell="1" hidden="0" allowOverlap="1">
                      <wp:simplePos x="0" y="0"/>
                      <wp:positionH relativeFrom="column">
                        <wp:posOffset>-545465</wp:posOffset>
                      </wp:positionH>
                      <wp:positionV relativeFrom="paragraph">
                        <wp:posOffset>413385</wp:posOffset>
                      </wp:positionV>
                      <wp:extent cx="1493520" cy="435610"/>
                      <wp:effectExtent l="635" t="635" r="29845" b="10795"/>
                      <wp:wrapNone/>
                      <wp:docPr id="1044" name="矢印: 五方向 2"/>
                      <a:graphic xmlns:a="http://schemas.openxmlformats.org/drawingml/2006/main">
                        <a:graphicData uri="http://schemas.microsoft.com/office/word/2010/wordprocessingShape">
                          <wps:wsp>
                            <wps:cNvPr id="1044" name="矢印: 五方向 2"/>
                            <wps:cNvSpPr/>
                            <wps:spPr>
                              <a:xfrm>
                                <a:off x="0" y="0"/>
                                <a:ext cx="1493520" cy="435610"/>
                              </a:xfrm>
                              <a:prstGeom prst="homePlate">
                                <a:avLst/>
                              </a:prstGeom>
                              <a:solidFill>
                                <a:sysClr val="window" lastClr="FFFFFF">
                                  <a:lumMod val="85000"/>
                                </a:sysClr>
                              </a:solidFill>
                              <a:ln w="12700" cap="flat" cmpd="sng" algn="ctr">
                                <a:solidFill>
                                  <a:srgbClr val="4472C4">
                                    <a:shade val="15000"/>
                                  </a:srgbClr>
                                </a:solidFill>
                                <a:prstDash val="solid"/>
                                <a:miter lim="800000"/>
                              </a:ln>
                              <a:effectLst/>
                            </wps:spPr>
                            <wps:txbx>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10</w:t>
                                  </w:r>
                                  <w:r>
                                    <w:rPr>
                                      <w:rFonts w:hint="eastAsia" w:ascii="メイリオ" w:hAnsi="メイリオ" w:eastAsia="メイリオ"/>
                                      <w:color w:val="000000" w:themeColor="text1"/>
                                    </w:rPr>
                                    <w:t>期計画</w:t>
                                  </w:r>
                                </w:p>
                              </w:txbxContent>
                            </wps:txbx>
                            <wps:bodyPr rot="0" vertOverflow="overflow" horzOverflow="overflow" wrap="square" numCol="1" spcCol="0" rtlCol="0" fromWordArt="0" anchor="ctr" anchorCtr="0" forceAA="0" compatLnSpc="1"/>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 style="mso-position-vertical-relative:text;z-index:16;mso-wrap-distance-left:9pt;width:117.6pt;height:34.29pt;mso-position-horizontal-relative:text;position:absolute;margin-left:-42.95pt;margin-top:32.54pt;mso-wrap-distance-bottom:0pt;mso-wrap-distance-right:9pt;mso-wrap-distance-top:0pt;v-text-anchor:middle;" o:spid="_x0000_s1044" o:allowincell="t" o:allowoverlap="t" filled="t" fillcolor="#d9d9d9" stroked="t" strokecolor="#1c2e52" strokeweight="1pt" o:spt="15" type="#_x0000_t15" adj="10800">
                      <v:fill/>
                      <v:stroke linestyle="single" miterlimit="8" endcap="flat" dashstyle="solid" filltype="solid"/>
                      <v:textbox style="layout-flow:horizontal;">
                        <w:txbxContent>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10</w:t>
                            </w:r>
                            <w:r>
                              <w:rPr>
                                <w:rFonts w:hint="eastAsia" w:ascii="メイリオ" w:hAnsi="メイリオ" w:eastAsia="メイリオ"/>
                                <w:color w:val="000000" w:themeColor="text1"/>
                              </w:rPr>
                              <w:t>期計画</w:t>
                            </w:r>
                          </w:p>
                        </w:txbxContent>
                      </v:textbox>
                      <v:imagedata o:title=""/>
                      <w10:wrap type="none" anchorx="text" anchory="text"/>
                    </v:shape>
                  </w:pict>
                </mc:Fallback>
              </mc:AlternateContent>
            </w:r>
          </w:p>
        </w:tc>
        <w:tc>
          <w:tcPr>
            <w:tcW w:w="813" w:type="dxa"/>
            <w:vAlign w:val="top"/>
          </w:tcPr>
          <w:p>
            <w:pPr>
              <w:pStyle w:val="0"/>
              <w:rPr>
                <w:rFonts w:hint="default" w:ascii="メイリオ" w:hAnsi="メイリオ" w:eastAsia="メイリオ"/>
                <w:color w:val="000000" w:themeColor="text1"/>
                <w:sz w:val="24"/>
              </w:rPr>
            </w:pPr>
          </w:p>
        </w:tc>
        <w:tc>
          <w:tcPr>
            <w:tcW w:w="813" w:type="dxa"/>
            <w:vAlign w:val="top"/>
          </w:tcPr>
          <w:p>
            <w:pPr>
              <w:pStyle w:val="0"/>
              <w:rPr>
                <w:rFonts w:hint="default" w:ascii="メイリオ" w:hAnsi="メイリオ" w:eastAsia="メイリオ"/>
                <w:color w:val="000000" w:themeColor="text1"/>
                <w:sz w:val="24"/>
              </w:rPr>
            </w:pPr>
          </w:p>
        </w:tc>
        <w:tc>
          <w:tcPr>
            <w:tcW w:w="773" w:type="dxa"/>
            <w:vAlign w:val="top"/>
          </w:tcPr>
          <w:p>
            <w:pPr>
              <w:pStyle w:val="0"/>
              <w:rPr>
                <w:rFonts w:hint="default" w:ascii="メイリオ" w:hAnsi="メイリオ" w:eastAsia="メイリオ"/>
                <w:color w:val="000000" w:themeColor="text1"/>
                <w:sz w:val="24"/>
              </w:rPr>
            </w:pPr>
          </w:p>
        </w:tc>
      </w:tr>
    </w:tbl>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5" w:name="_Toc154129921"/>
      <w:r>
        <w:rPr>
          <w:rFonts w:hint="eastAsia"/>
          <w:color w:val="000000" w:themeColor="text1"/>
        </w:rPr>
        <w:t>第４節　計画の策定体制</w:t>
      </w:r>
      <w:bookmarkEnd w:id="5"/>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陸別町地域包括ケアシステム推進会議</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課題の把握・共有や、介護保険及び保健・医療・福祉に係るそれぞれの立場からの意見を反映させるため、地域包括ケアシステム推進会議において検討・協議を行いました。また、各サービス提供事業所に対し書面調査とヒアリングを行い、事業所を運営する中で見た現状と課題を整理しました。</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203200" distR="203200" simplePos="0" relativeHeight="61" behindDoc="0" locked="0" layoutInCell="1" hidden="0" allowOverlap="1">
                <wp:simplePos x="0" y="0"/>
                <wp:positionH relativeFrom="column">
                  <wp:posOffset>-54610</wp:posOffset>
                </wp:positionH>
                <wp:positionV relativeFrom="paragraph">
                  <wp:posOffset>157480</wp:posOffset>
                </wp:positionV>
                <wp:extent cx="5687695" cy="297116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5687695" cy="2971165"/>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61;mso-wrap-distance-left:16pt;width:447.85pt;height:233.95pt;mso-position-horizontal-relative:text;position:absolute;margin-left:-4.3pt;margin-top:12.4pt;mso-wrap-distance-bottom:0pt;mso-wrap-distance-right:16pt;mso-wrap-distance-top:0pt;" o:spid="_x0000_s1045"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widowControl w:val="1"/>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■地域包括ケアシステム推進会議における協議の概要■</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（経過）</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・令和５年</w:t>
      </w:r>
      <w:r>
        <w:rPr>
          <w:rFonts w:hint="eastAsia" w:ascii="メイリオ" w:hAnsi="メイリオ" w:eastAsia="メイリオ"/>
          <w:color w:val="000000" w:themeColor="text1"/>
          <w:sz w:val="24"/>
        </w:rPr>
        <w:t>8</w:t>
      </w:r>
      <w:r>
        <w:rPr>
          <w:rFonts w:hint="eastAsia" w:ascii="メイリオ" w:hAnsi="メイリオ" w:eastAsia="メイリオ"/>
          <w:color w:val="000000" w:themeColor="text1"/>
          <w:sz w:val="24"/>
        </w:rPr>
        <w:t>月</w:t>
      </w:r>
      <w:r>
        <w:rPr>
          <w:rFonts w:hint="eastAsia" w:ascii="メイリオ" w:hAnsi="メイリオ" w:eastAsia="メイリオ"/>
          <w:color w:val="000000" w:themeColor="text1"/>
          <w:sz w:val="24"/>
        </w:rPr>
        <w:t>8</w:t>
      </w:r>
      <w:r>
        <w:rPr>
          <w:rFonts w:hint="eastAsia" w:ascii="メイリオ" w:hAnsi="メイリオ" w:eastAsia="メイリオ"/>
          <w:color w:val="000000" w:themeColor="text1"/>
          <w:sz w:val="24"/>
        </w:rPr>
        <w:t>日：第１回地域包括ケアシステム推進会議</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計画策定スケジュールの提示、アンケート内容の提示</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・令和５年</w:t>
      </w:r>
      <w:r>
        <w:rPr>
          <w:rFonts w:hint="eastAsia" w:ascii="メイリオ" w:hAnsi="メイリオ" w:eastAsia="メイリオ"/>
          <w:color w:val="000000" w:themeColor="text1"/>
          <w:sz w:val="24"/>
        </w:rPr>
        <w:t>12</w:t>
      </w:r>
      <w:r>
        <w:rPr>
          <w:rFonts w:hint="eastAsia" w:ascii="メイリオ" w:hAnsi="メイリオ" w:eastAsia="メイリオ"/>
          <w:color w:val="000000" w:themeColor="text1"/>
          <w:sz w:val="24"/>
        </w:rPr>
        <w:t>月</w:t>
      </w:r>
      <w:r>
        <w:rPr>
          <w:rFonts w:hint="eastAsia" w:ascii="メイリオ" w:hAnsi="メイリオ" w:eastAsia="メイリオ"/>
          <w:color w:val="000000" w:themeColor="text1"/>
          <w:sz w:val="24"/>
        </w:rPr>
        <w:t>18</w:t>
      </w:r>
      <w:r>
        <w:rPr>
          <w:rFonts w:hint="eastAsia" w:ascii="メイリオ" w:hAnsi="メイリオ" w:eastAsia="メイリオ"/>
          <w:color w:val="000000" w:themeColor="text1"/>
          <w:sz w:val="24"/>
        </w:rPr>
        <w:t>日：第２回地域包括ケアシステム推進会議</w:t>
      </w:r>
    </w:p>
    <w:p>
      <w:pPr>
        <w:pStyle w:val="0"/>
        <w:widowControl w:val="1"/>
        <w:ind w:left="2610" w:leftChars="100" w:hanging="2400" w:hangingChars="10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計画素案の協議、アンケート調査と事業所ヒアリングの結果報告</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w:t>
      </w:r>
      <w:r>
        <w:rPr>
          <w:rFonts w:hint="eastAsia" w:ascii="メイリオ" w:hAnsi="メイリオ" w:eastAsia="メイリオ"/>
          <w:color w:val="000000" w:themeColor="text1"/>
          <w:sz w:val="24"/>
        </w:rPr>
        <w:t>6</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月２日：第３回地域包括ケアシステム推進会議</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パブリックコメント実施報告、素案確定に向けた協議</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２　陸別町保健・医療・福祉サービス検討委員会</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サ―ビス提供者や関係団体の代表者、一般公募の町民等で構成される陸別町保健・医療・福祉サービス検討委員会において検討・協議を行いました。</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町民による参加</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及び保健・医療・福祉サービスを利用している要介護者等をはじめ、被保険者である町民の意見を反映させるため、「介護予防・日常生活圏域ニーズ調査」、「在宅介護実態調査」を実施しました。また、パブリックコメント</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による町民の意見聴取を行いました。</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203200" distR="203200" simplePos="0" relativeHeight="59" behindDoc="0" locked="0" layoutInCell="1" hidden="0" allowOverlap="1">
                <wp:simplePos x="0" y="0"/>
                <wp:positionH relativeFrom="column">
                  <wp:posOffset>65405</wp:posOffset>
                </wp:positionH>
                <wp:positionV relativeFrom="paragraph">
                  <wp:posOffset>173990</wp:posOffset>
                </wp:positionV>
                <wp:extent cx="5306695" cy="1423670"/>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5306695" cy="142367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9;mso-wrap-distance-left:16pt;width:417.85pt;height:112.1pt;mso-position-horizontal-relative:text;position:absolute;margin-left:5.15pt;margin-top:13.7pt;mso-wrap-distance-bottom:0pt;mso-wrap-distance-right:16pt;mso-wrap-distance-top:0pt;" o:spid="_x0000_s1046"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■パブリックコメントの実施概要■</w:t>
      </w:r>
    </w:p>
    <w:p>
      <w:pPr>
        <w:pStyle w:val="0"/>
        <w:widowControl w:val="1"/>
        <w:ind w:left="0" w:leftChars="0"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意見募集期間</w:t>
      </w:r>
      <w:r>
        <w:rPr>
          <w:rFonts w:hint="default" w:ascii="メイリオ" w:hAnsi="メイリオ" w:eastAsia="メイリオ"/>
          <w:color w:val="000000" w:themeColor="text1"/>
          <w:sz w:val="24"/>
        </w:rPr>
        <w:t>：令和</w:t>
      </w:r>
      <w:r>
        <w:rPr>
          <w:rFonts w:hint="eastAsia" w:ascii="メイリオ" w:hAnsi="メイリオ" w:eastAsia="メイリオ"/>
          <w:color w:val="000000" w:themeColor="text1"/>
          <w:sz w:val="24"/>
        </w:rPr>
        <w:t>６</w:t>
      </w:r>
      <w:r>
        <w:rPr>
          <w:rFonts w:hint="default" w:ascii="メイリオ" w:hAnsi="メイリオ" w:eastAsia="メイリオ"/>
          <w:color w:val="000000" w:themeColor="text1"/>
          <w:sz w:val="24"/>
        </w:rPr>
        <w:t>年</w:t>
      </w:r>
      <w:r>
        <w:rPr>
          <w:rFonts w:hint="eastAsia" w:ascii="メイリオ" w:hAnsi="メイリオ" w:eastAsia="メイリオ"/>
          <w:color w:val="000000" w:themeColor="text1"/>
          <w:sz w:val="24"/>
        </w:rPr>
        <w:t>１</w:t>
      </w:r>
      <w:r>
        <w:rPr>
          <w:rFonts w:hint="default" w:ascii="メイリオ" w:hAnsi="メイリオ" w:eastAsia="メイリオ"/>
          <w:color w:val="000000" w:themeColor="text1"/>
          <w:sz w:val="24"/>
        </w:rPr>
        <w:t>月</w:t>
      </w:r>
      <w:r>
        <w:rPr>
          <w:rFonts w:hint="eastAsia" w:ascii="メイリオ" w:hAnsi="メイリオ" w:eastAsia="メイリオ"/>
          <w:color w:val="000000" w:themeColor="text1"/>
          <w:sz w:val="24"/>
        </w:rPr>
        <w:t>５</w:t>
      </w:r>
      <w:r>
        <w:rPr>
          <w:rFonts w:hint="default" w:ascii="メイリオ" w:hAnsi="メイリオ" w:eastAsia="メイリオ"/>
          <w:color w:val="000000" w:themeColor="text1"/>
          <w:sz w:val="24"/>
        </w:rPr>
        <w:t>日～令和</w:t>
      </w:r>
      <w:r>
        <w:rPr>
          <w:rFonts w:hint="eastAsia" w:ascii="メイリオ" w:hAnsi="メイリオ" w:eastAsia="メイリオ"/>
          <w:color w:val="000000" w:themeColor="text1"/>
          <w:sz w:val="24"/>
        </w:rPr>
        <w:t>６</w:t>
      </w:r>
      <w:r>
        <w:rPr>
          <w:rFonts w:hint="default" w:ascii="メイリオ" w:hAnsi="メイリオ" w:eastAsia="メイリオ"/>
          <w:color w:val="000000" w:themeColor="text1"/>
          <w:sz w:val="24"/>
        </w:rPr>
        <w:t>年１月</w:t>
      </w:r>
      <w:r>
        <w:rPr>
          <w:rFonts w:hint="eastAsia" w:ascii="メイリオ" w:hAnsi="メイリオ" w:eastAsia="メイリオ"/>
          <w:color w:val="000000" w:themeColor="text1"/>
          <w:sz w:val="24"/>
        </w:rPr>
        <w:t>26</w:t>
      </w:r>
      <w:r>
        <w:rPr>
          <w:rFonts w:hint="default" w:ascii="メイリオ" w:hAnsi="メイリオ" w:eastAsia="メイリオ"/>
          <w:color w:val="000000" w:themeColor="text1"/>
          <w:sz w:val="24"/>
        </w:rPr>
        <w:t>日まで</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閲覧方法</w:t>
      </w:r>
      <w:r>
        <w:rPr>
          <w:rFonts w:hint="default" w:ascii="メイリオ" w:hAnsi="メイリオ" w:eastAsia="メイリオ"/>
          <w:color w:val="000000" w:themeColor="text1"/>
          <w:sz w:val="24"/>
        </w:rPr>
        <w:tab/>
      </w:r>
      <w:r>
        <w:rPr>
          <w:rFonts w:hint="default" w:ascii="メイリオ" w:hAnsi="メイリオ" w:eastAsia="メイリオ"/>
          <w:color w:val="000000" w:themeColor="text1"/>
          <w:sz w:val="24"/>
        </w:rPr>
        <w:t>：陸別町保健福祉センター窓口及び陸別町ホームページ</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募集結果</w:t>
      </w:r>
      <w:r>
        <w:rPr>
          <w:rFonts w:hint="default" w:ascii="メイリオ" w:hAnsi="メイリオ" w:eastAsia="メイリオ"/>
          <w:color w:val="000000" w:themeColor="text1"/>
          <w:sz w:val="24"/>
        </w:rPr>
        <w:tab/>
      </w:r>
      <w:r>
        <w:rPr>
          <w:rFonts w:hint="default" w:ascii="メイリオ" w:hAnsi="メイリオ" w:eastAsia="メイリオ"/>
          <w:color w:val="000000" w:themeColor="text1"/>
          <w:sz w:val="24"/>
        </w:rPr>
        <w:t>：</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名、</w:t>
      </w:r>
      <w:r>
        <w:rPr>
          <w:rFonts w:hint="eastAsia" w:ascii="メイリオ" w:hAnsi="メイリオ" w:eastAsia="メイリオ"/>
          <w:color w:val="000000" w:themeColor="text1"/>
          <w:sz w:val="24"/>
        </w:rPr>
        <w:t>14</w:t>
      </w:r>
      <w:r>
        <w:rPr>
          <w:rFonts w:hint="eastAsia" w:ascii="メイリオ" w:hAnsi="メイリオ" w:eastAsia="メイリオ"/>
          <w:color w:val="000000" w:themeColor="text1"/>
          <w:sz w:val="24"/>
        </w:rPr>
        <w:t>件</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４　国や道、市町村相互間の調整</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本計画は、「介護保険事業に係る保険給付の円滑な実施を確保するための基本的な指針」を踏まえるとともに、北海道等と調整した上で策定しました。</w:t>
      </w:r>
    </w:p>
    <w:p>
      <w:pPr>
        <w:pStyle w:val="38"/>
        <w:rPr>
          <w:rFonts w:hint="default"/>
          <w:color w:val="000000" w:themeColor="text1"/>
        </w:rPr>
      </w:pPr>
      <w:bookmarkStart w:id="6" w:name="_Toc154129922"/>
    </w:p>
    <w:p>
      <w:pPr>
        <w:pStyle w:val="38"/>
        <w:rPr>
          <w:rFonts w:hint="default"/>
          <w:color w:val="000000" w:themeColor="text1"/>
        </w:rPr>
      </w:pPr>
      <w:r>
        <w:rPr>
          <w:rFonts w:hint="eastAsia"/>
          <w:color w:val="000000" w:themeColor="text1"/>
        </w:rPr>
        <mc:AlternateContent>
          <mc:Choice Requires="wps">
            <w:drawing>
              <wp:anchor distT="0" distB="0" distL="71755" distR="71755" simplePos="0" relativeHeight="62" behindDoc="0" locked="0" layoutInCell="1" hidden="0" allowOverlap="1">
                <wp:simplePos x="0" y="0"/>
                <wp:positionH relativeFrom="column">
                  <wp:posOffset>-329565</wp:posOffset>
                </wp:positionH>
                <wp:positionV relativeFrom="paragraph">
                  <wp:posOffset>306705</wp:posOffset>
                </wp:positionV>
                <wp:extent cx="6083935" cy="885190"/>
                <wp:effectExtent l="0" t="0" r="635" b="635"/>
                <wp:wrapNone/>
                <wp:docPr id="1047" name="オブジェクト 0"/>
                <a:graphic xmlns:a="http://schemas.openxmlformats.org/drawingml/2006/main">
                  <a:graphicData uri="http://schemas.microsoft.com/office/word/2010/wordprocessingShape">
                    <wps:wsp>
                      <wps:cNvPr id="1047" name="オブジェクト 0"/>
                      <wps:cNvSpPr/>
                      <wps:spPr>
                        <a:xfrm>
                          <a:off x="0" y="0"/>
                          <a:ext cx="6083935" cy="88519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62;mso-wrap-distance-left:5.65pt;width:479.05pt;height:69.7pt;mso-position-horizontal-relative:text;position:absolute;margin-left:-25.95pt;margin-top:24.15pt;mso-wrap-distance-bottom:0pt;mso-wrap-distance-right:5.65pt;mso-wrap-distance-top:0pt;" o:spid="_x0000_s1047" o:allowincell="t" o:allowoverlap="t" filled="t" fillcolor="#ffffff [3212]" stroked="f" strokecolor="#32528f" strokeweight="1pt" o:spt="1">
                <v:fill/>
                <v:stroke linestyle="single" miterlimit="8" endcap="flat" dashstyle="solid"/>
                <v:textbox style="layout-flow:horizontal;"/>
                <v:imagedata o:title=""/>
                <w10:wrap type="none" anchorx="text" anchory="text"/>
              </v:rect>
            </w:pict>
          </mc:Fallback>
        </mc:AlternateContent>
      </w:r>
    </w:p>
    <w:p>
      <w:pPr>
        <w:pStyle w:val="38"/>
        <w:rPr>
          <w:rFonts w:hint="default"/>
          <w:color w:val="000000" w:themeColor="text1"/>
        </w:rPr>
      </w:pPr>
    </w:p>
    <w:p>
      <w:pPr>
        <w:pStyle w:val="40"/>
        <w:rPr>
          <w:rFonts w:hint="default"/>
          <w:color w:val="000000" w:themeColor="text1"/>
        </w:rPr>
      </w:pPr>
    </w:p>
    <w:p>
      <w:pPr>
        <w:pStyle w:val="40"/>
        <w:rPr>
          <w:rFonts w:hint="default"/>
          <w:color w:val="000000" w:themeColor="text1"/>
        </w:rPr>
      </w:pPr>
      <w:r>
        <w:rPr>
          <w:rFonts w:hint="eastAsia"/>
          <w:color w:val="000000" w:themeColor="text1"/>
        </w:rPr>
        <w:tab/>
      </w:r>
    </w:p>
    <w:p>
      <w:pPr>
        <w:pStyle w:val="40"/>
        <w:rPr>
          <w:rFonts w:hint="default"/>
          <w:color w:val="000000" w:themeColor="text1"/>
        </w:rPr>
      </w:pPr>
      <w:r>
        <w:rPr>
          <w:rFonts w:hint="eastAsia"/>
          <w:color w:val="000000" w:themeColor="text1"/>
        </w:rPr>
        <w:tab/>
      </w:r>
    </w:p>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p>
    <w:p>
      <w:pPr>
        <w:pStyle w:val="38"/>
        <w:rPr>
          <w:rFonts w:hint="default"/>
          <w:color w:val="000000" w:themeColor="text1"/>
        </w:rPr>
      </w:pPr>
      <w:r>
        <w:rPr>
          <w:rFonts w:hint="eastAsia"/>
          <w:color w:val="000000" w:themeColor="text1"/>
        </w:rPr>
        <w:t>第５節　計画策定にあたっての基本的な視点</w:t>
      </w:r>
      <w:bookmarkEnd w:id="6"/>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介護保険制度は３年ごとに大きな見直しが行われ、各自治体・保険者において介護保険事業計画が策定されています。第６期計画以降</w:t>
      </w:r>
      <w:r>
        <w:rPr>
          <w:rFonts w:hint="default" w:ascii="メイリオ" w:hAnsi="メイリオ" w:eastAsia="メイリオ"/>
          <w:color w:val="000000" w:themeColor="text1"/>
          <w:sz w:val="24"/>
        </w:rPr>
        <w:t>の市</w:t>
      </w:r>
      <w:r>
        <w:rPr>
          <w:rFonts w:hint="eastAsia" w:ascii="メイリオ" w:hAnsi="メイリオ" w:eastAsia="メイリオ"/>
          <w:color w:val="000000" w:themeColor="text1"/>
          <w:sz w:val="24"/>
        </w:rPr>
        <w:t>町村介護保険事業計画は「地域包括ケア計画」として位置づけられています。</w:t>
      </w:r>
    </w:p>
    <w:p>
      <w:pPr>
        <w:pStyle w:val="0"/>
        <w:widowControl w:val="1"/>
        <w:ind w:right="-210" w:rightChars="-100" w:firstLine="240" w:firstLineChars="100"/>
        <w:jc w:val="left"/>
        <w:rPr>
          <w:rFonts w:hint="default" w:ascii="メイリオ" w:hAnsi="メイリオ" w:eastAsia="メイリオ"/>
          <w:color w:val="auto"/>
          <w:sz w:val="24"/>
        </w:rPr>
      </w:pPr>
      <w:r>
        <w:rPr>
          <w:rFonts w:hint="eastAsia" w:ascii="メイリオ" w:hAnsi="メイリオ" w:eastAsia="メイリオ"/>
          <w:color w:val="auto"/>
          <w:sz w:val="24"/>
        </w:rPr>
        <w:t>全国的に</w:t>
      </w:r>
      <w:r>
        <w:rPr>
          <w:rFonts w:hint="default" w:ascii="メイリオ" w:hAnsi="メイリオ" w:eastAsia="メイリオ"/>
          <w:color w:val="auto"/>
          <w:sz w:val="24"/>
        </w:rPr>
        <w:t>令和７</w:t>
      </w:r>
      <w:r>
        <w:rPr>
          <w:rFonts w:hint="eastAsia" w:ascii="メイリオ" w:hAnsi="メイリオ" w:eastAsia="メイリオ"/>
          <w:color w:val="auto"/>
          <w:sz w:val="24"/>
        </w:rPr>
        <w:t>（</w:t>
      </w:r>
      <w:r>
        <w:rPr>
          <w:rFonts w:hint="default" w:ascii="メイリオ" w:hAnsi="メイリオ" w:eastAsia="メイリオ"/>
          <w:color w:val="auto"/>
          <w:sz w:val="24"/>
        </w:rPr>
        <w:t>2025</w:t>
      </w:r>
      <w:r>
        <w:rPr>
          <w:rFonts w:hint="default" w:ascii="メイリオ" w:hAnsi="メイリオ" w:eastAsia="メイリオ"/>
          <w:color w:val="auto"/>
          <w:sz w:val="24"/>
        </w:rPr>
        <w:t>）年</w:t>
      </w:r>
      <w:r>
        <w:rPr>
          <w:rFonts w:hint="eastAsia" w:ascii="メイリオ" w:hAnsi="メイリオ" w:eastAsia="メイリオ"/>
          <w:color w:val="auto"/>
          <w:sz w:val="24"/>
        </w:rPr>
        <w:t>には団塊の世代が</w:t>
      </w:r>
      <w:r>
        <w:rPr>
          <w:rFonts w:hint="eastAsia" w:ascii="メイリオ" w:hAnsi="メイリオ" w:eastAsia="メイリオ"/>
          <w:color w:val="auto"/>
          <w:sz w:val="24"/>
        </w:rPr>
        <w:t>75</w:t>
      </w:r>
      <w:r>
        <w:rPr>
          <w:rFonts w:hint="eastAsia" w:ascii="メイリオ" w:hAnsi="メイリオ" w:eastAsia="メイリオ"/>
          <w:color w:val="auto"/>
          <w:sz w:val="24"/>
        </w:rPr>
        <w:t>歳を迎え、高齢者人口がさ</w:t>
      </w:r>
    </w:p>
    <w:p>
      <w:pPr>
        <w:pStyle w:val="0"/>
        <w:widowControl w:val="1"/>
        <w:ind w:leftChars="0" w:right="-210" w:rightChars="-100" w:firstLine="0" w:firstLineChars="0"/>
        <w:jc w:val="left"/>
        <w:rPr>
          <w:rFonts w:hint="default" w:ascii="メイリオ" w:hAnsi="メイリオ" w:eastAsia="メイリオ"/>
          <w:color w:val="000000" w:themeColor="text1"/>
          <w:sz w:val="24"/>
        </w:rPr>
      </w:pPr>
      <w:r>
        <w:rPr>
          <w:rFonts w:hint="eastAsia" w:ascii="メイリオ" w:hAnsi="メイリオ" w:eastAsia="メイリオ"/>
          <w:color w:val="auto"/>
          <w:sz w:val="24"/>
        </w:rPr>
        <w:t>らに増加し、高齢化率が上昇することが見込まれます。さらに令和</w:t>
      </w:r>
      <w:r>
        <w:rPr>
          <w:rFonts w:hint="eastAsia" w:ascii="メイリオ" w:hAnsi="メイリオ" w:eastAsia="メイリオ"/>
          <w:color w:val="auto"/>
          <w:sz w:val="24"/>
        </w:rPr>
        <w:t>22</w:t>
      </w:r>
      <w:r>
        <w:rPr>
          <w:rFonts w:hint="eastAsia" w:ascii="メイリオ" w:hAnsi="メイリオ" w:eastAsia="メイリオ"/>
          <w:color w:val="auto"/>
          <w:sz w:val="24"/>
        </w:rPr>
        <w:t>（</w:t>
      </w:r>
      <w:r>
        <w:rPr>
          <w:rFonts w:hint="eastAsia" w:ascii="メイリオ" w:hAnsi="メイリオ" w:eastAsia="メイリオ"/>
          <w:color w:val="auto"/>
          <w:sz w:val="24"/>
        </w:rPr>
        <w:t>2040</w:t>
      </w:r>
      <w:r>
        <w:rPr>
          <w:rFonts w:hint="eastAsia" w:ascii="メイリオ" w:hAnsi="メイリオ" w:eastAsia="メイリオ"/>
          <w:color w:val="auto"/>
          <w:sz w:val="24"/>
        </w:rPr>
        <w:t>）</w:t>
      </w:r>
      <w:r>
        <w:rPr>
          <w:rFonts w:hint="eastAsia" w:ascii="メイリオ" w:hAnsi="メイリオ" w:eastAsia="メイリオ"/>
          <w:color w:val="000000" w:themeColor="text1"/>
          <w:sz w:val="24"/>
        </w:rPr>
        <w:t>年</w:t>
      </w:r>
      <w:r>
        <w:rPr>
          <w:rFonts w:hint="default" w:ascii="メイリオ" w:hAnsi="メイリオ" w:eastAsia="メイリオ"/>
          <w:color w:val="000000" w:themeColor="text1"/>
          <w:sz w:val="24"/>
        </w:rPr>
        <w:t>に</w:t>
      </w:r>
      <w:r>
        <w:rPr>
          <w:rFonts w:hint="eastAsia" w:ascii="メイリオ" w:hAnsi="メイリオ" w:eastAsia="メイリオ"/>
          <w:color w:val="000000" w:themeColor="text1"/>
          <w:sz w:val="24"/>
        </w:rPr>
        <w:t>は団塊の世代の子供世代が</w:t>
      </w:r>
      <w:r>
        <w:rPr>
          <w:rFonts w:hint="eastAsia" w:ascii="メイリオ" w:hAnsi="メイリオ" w:eastAsia="メイリオ"/>
          <w:color w:val="000000" w:themeColor="text1"/>
          <w:sz w:val="24"/>
        </w:rPr>
        <w:t>65</w:t>
      </w:r>
      <w:r>
        <w:rPr>
          <w:rFonts w:hint="eastAsia" w:ascii="メイリオ" w:hAnsi="メイリオ" w:eastAsia="メイリオ"/>
          <w:color w:val="000000" w:themeColor="text1"/>
          <w:sz w:val="24"/>
        </w:rPr>
        <w:t>歳となり、高齢化率がピークになると予想されています。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こうした状況を踏まえ、</w:t>
      </w:r>
      <w:r>
        <w:rPr>
          <w:rFonts w:hint="default" w:ascii="メイリオ" w:hAnsi="メイリオ" w:eastAsia="メイリオ"/>
          <w:color w:val="000000" w:themeColor="text1"/>
          <w:sz w:val="24"/>
        </w:rPr>
        <w:t>「医療」「介護」「住</w:t>
      </w:r>
      <w:r>
        <w:rPr>
          <w:rFonts w:hint="eastAsia" w:ascii="メイリオ" w:hAnsi="メイリオ" w:eastAsia="メイリオ"/>
          <w:color w:val="000000" w:themeColor="text1"/>
          <w:sz w:val="24"/>
        </w:rPr>
        <w:t>まい」「生活支援」</w:t>
      </w:r>
      <w:r>
        <w:rPr>
          <w:rFonts w:hint="default" w:ascii="メイリオ" w:hAnsi="メイリオ" w:eastAsia="メイリオ"/>
          <w:color w:val="000000" w:themeColor="text1"/>
          <w:sz w:val="24"/>
        </w:rPr>
        <w:t>「介護予防</w:t>
      </w:r>
      <w:r>
        <w:rPr>
          <w:rFonts w:hint="eastAsia" w:ascii="メイリオ" w:hAnsi="メイリオ" w:eastAsia="メイリオ"/>
          <w:color w:val="000000" w:themeColor="text1"/>
          <w:sz w:val="24"/>
        </w:rPr>
        <w:t>」</w:t>
      </w:r>
      <w:r>
        <w:rPr>
          <w:rFonts w:hint="default" w:ascii="メイリオ" w:hAnsi="メイリオ" w:eastAsia="メイリオ"/>
          <w:color w:val="000000" w:themeColor="text1"/>
          <w:sz w:val="24"/>
        </w:rPr>
        <w:t>を柱として高齢者の生活を支援していく「地域包括ケ</w:t>
      </w:r>
      <w:r>
        <w:rPr>
          <w:rFonts w:hint="eastAsia" w:ascii="メイリオ" w:hAnsi="メイリオ" w:eastAsia="メイリオ"/>
          <w:color w:val="000000" w:themeColor="text1"/>
          <w:sz w:val="24"/>
        </w:rPr>
        <w:t>アシステム</w:t>
      </w:r>
      <w:r>
        <w:rPr>
          <w:rStyle w:val="23"/>
          <w:rFonts w:hint="eastAsia" w:ascii="メイリオ" w:hAnsi="メイリオ" w:eastAsia="メイリオ"/>
          <w:color w:val="000000" w:themeColor="text1"/>
          <w:sz w:val="24"/>
        </w:rPr>
        <w:footnoteReference w:id="1"/>
      </w:r>
      <w:r>
        <w:rPr>
          <w:rFonts w:hint="eastAsia" w:ascii="メイリオ" w:hAnsi="メイリオ" w:eastAsia="メイリオ"/>
          <w:color w:val="000000" w:themeColor="text1"/>
          <w:sz w:val="24"/>
        </w:rPr>
        <w:t>」</w:t>
      </w:r>
      <w:r>
        <w:rPr>
          <w:rFonts w:hint="default" w:ascii="メイリオ" w:hAnsi="メイリオ" w:eastAsia="メイリオ"/>
          <w:color w:val="000000" w:themeColor="text1"/>
          <w:sz w:val="24"/>
        </w:rPr>
        <w:t xml:space="preserve"> </w:t>
      </w:r>
      <w:r>
        <w:rPr>
          <w:rFonts w:hint="eastAsia" w:ascii="メイリオ" w:hAnsi="メイリオ" w:eastAsia="メイリオ"/>
          <w:color w:val="000000" w:themeColor="text1"/>
          <w:sz w:val="24"/>
        </w:rPr>
        <w:t>を深化させることが求められています。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計画となる本計画では、「地域包括ケアシステム」を深化させ、地域共生社会を実現するため、地域住民の複雑化・複合化した支援ニーズに対応する包括的な福祉サービス提供体制を整備する観点から、次のような</w:t>
      </w:r>
      <w:r>
        <w:rPr>
          <w:rFonts w:hint="default" w:ascii="メイリオ" w:hAnsi="メイリオ" w:eastAsia="メイリオ"/>
          <w:color w:val="000000" w:themeColor="text1"/>
          <w:sz w:val="24"/>
        </w:rPr>
        <w:t>取り組みが実施されることとされています。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bookmarkStart w:id="7" w:name="_Toc152160491"/>
      <w:r>
        <w:rPr>
          <w:rStyle w:val="22"/>
          <w:rFonts w:hint="eastAsia"/>
          <w:color w:val="000000" w:themeColor="text1"/>
        </w:rPr>
        <w:t>１　人口構成の変化（高齢化社会の一層の進展）とサービス基盤の整</w:t>
      </w:r>
      <w:r>
        <w:rPr>
          <w:rFonts w:hint="eastAsia"/>
          <w:color w:val="000000" w:themeColor="text1"/>
        </w:rPr>
        <w:t>備</w:t>
      </w:r>
      <w:bookmarkEnd w:id="7"/>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期計画中に、団塊の世代が全員</w:t>
      </w:r>
      <w:r>
        <w:rPr>
          <w:rFonts w:hint="eastAsia" w:ascii="メイリオ" w:hAnsi="メイリオ" w:eastAsia="メイリオ"/>
          <w:color w:val="000000" w:themeColor="text1"/>
          <w:sz w:val="24"/>
        </w:rPr>
        <w:t>75</w:t>
      </w:r>
      <w:r>
        <w:rPr>
          <w:rFonts w:hint="eastAsia" w:ascii="メイリオ" w:hAnsi="メイリオ" w:eastAsia="メイリオ"/>
          <w:color w:val="000000" w:themeColor="text1"/>
          <w:sz w:val="24"/>
        </w:rPr>
        <w:t>歳以上となる令和</w:t>
      </w:r>
      <w:r>
        <w:rPr>
          <w:rFonts w:hint="eastAsia" w:ascii="メイリオ" w:hAnsi="メイリオ" w:eastAsia="メイリオ"/>
          <w:color w:val="000000" w:themeColor="text1"/>
          <w:sz w:val="24"/>
        </w:rPr>
        <w:t>7</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2025</w:t>
      </w:r>
      <w:r>
        <w:rPr>
          <w:rFonts w:hint="eastAsia" w:ascii="メイリオ" w:hAnsi="メイリオ" w:eastAsia="メイリオ"/>
          <w:color w:val="000000" w:themeColor="text1"/>
          <w:sz w:val="24"/>
        </w:rPr>
        <w:t>）年度を迎えます。こうした傾向は医療・介護双方のニーズを有する要介護高齢者が増加し、一方で生産年齢人口が減少することにつながり、本計画において、具体的な取組内容や目標を定め、より一層介護サービスの基盤を整備することが重要になり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また、介護サービスの持続可能性を維持するには、介護サービス需要の変化を予測し、利用の適正化、さらには地域一体として高齢者の安心・安全な暮らしを実現するための人材確保や介護現場における生産性の向上への取組が求められ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bookmarkStart w:id="8" w:name="_Toc152160492"/>
      <w:r>
        <w:rPr>
          <w:rFonts w:hint="eastAsia"/>
          <w:color w:val="000000" w:themeColor="text1"/>
        </w:rPr>
        <w:t>２　地域共生社会の実現</w:t>
      </w:r>
      <w:bookmarkEnd w:id="8"/>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共生社会」とは、公的な福祉だけに頼るのではなく、地域に暮らす人たちが共に支え合う社会にしていこうとするものです。この理念や考え方を踏まえた包括的な支援体制の整備や具体的な取り組みが重要となり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共生社会の実現に向けた中核的な基盤は地域包括ケアシステムになります。さらに地域包括ケアシステムを適切に運用するための具体的な拠点として地域包括支援センターがあります。地域包括支援センターにおいて、事業を円滑に推進し、地域共生社会を実現するために、現状の課題を適切に認識し、提供するサービスの質を向上させることが期待され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bookmarkStart w:id="9" w:name="_Toc152160493"/>
      <w:r>
        <w:rPr>
          <w:rFonts w:hint="eastAsia"/>
          <w:color w:val="000000" w:themeColor="text1"/>
        </w:rPr>
        <w:t>３　</w:t>
      </w:r>
      <w:bookmarkEnd w:id="9"/>
      <w:r>
        <w:rPr>
          <w:rFonts w:hint="eastAsia"/>
          <w:color w:val="000000" w:themeColor="text1"/>
        </w:rPr>
        <w:t>地域課題、ニーズへの柔軟な対応</w:t>
      </w:r>
    </w:p>
    <w:p>
      <w:pPr>
        <w:pStyle w:val="21"/>
        <w:ind w:left="210" w:leftChars="100" w:right="210"/>
        <w:rPr>
          <w:rFonts w:hint="default"/>
          <w:color w:val="000000" w:themeColor="text1"/>
        </w:rPr>
      </w:pPr>
      <w:r>
        <w:rPr>
          <w:rFonts w:hint="eastAsia"/>
          <w:color w:val="000000" w:themeColor="text1"/>
        </w:rPr>
        <w:t>居宅要介護者の様々な介護ニーズに柔軟に対応できるよう、地域の実情に合わせて、既存にあるサービスの現状把握と見直しに取り組むことが重要です。　　　</w:t>
      </w:r>
    </w:p>
    <w:p>
      <w:pPr>
        <w:pStyle w:val="21"/>
        <w:ind w:left="210" w:leftChars="100" w:right="210"/>
        <w:rPr>
          <w:rFonts w:hint="default"/>
          <w:dstrike w:val="1"/>
          <w:color w:val="000000" w:themeColor="text1"/>
        </w:rPr>
      </w:pPr>
      <w:r>
        <w:rPr>
          <w:rFonts w:hint="eastAsia"/>
          <w:color w:val="000000" w:themeColor="text1"/>
        </w:rPr>
        <w:t>介護医療における人材不足という現状がありますが、我が町独自に必要な取り組みや人材が足りない中でも解決に向けて必要な取り組みを整理し、様々な介護ニーズに柔軟に対応できるよう地域課題の解決に向けて取り組みます。</w:t>
      </w:r>
    </w:p>
    <w:p>
      <w:pPr>
        <w:pStyle w:val="21"/>
        <w:ind w:left="0" w:leftChars="0" w:right="210" w:firstLine="0" w:firstLineChars="0"/>
        <w:rPr>
          <w:rFonts w:hint="default"/>
          <w:color w:val="000000" w:themeColor="text1"/>
        </w:rPr>
      </w:pPr>
    </w:p>
    <w:p>
      <w:pPr>
        <w:pStyle w:val="40"/>
        <w:rPr>
          <w:rFonts w:hint="default"/>
          <w:color w:val="000000" w:themeColor="text1"/>
        </w:rPr>
      </w:pPr>
      <w:bookmarkStart w:id="10" w:name="_Toc152160494"/>
      <w:r>
        <w:rPr>
          <w:rFonts w:hint="eastAsia"/>
          <w:color w:val="000000" w:themeColor="text1"/>
        </w:rPr>
        <w:t>４　認知症基本法を踏まえた認知症施策の推進</w:t>
      </w:r>
      <w:bookmarkEnd w:id="10"/>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w:t>
      </w:r>
      <w:r>
        <w:rPr>
          <w:rFonts w:hint="default" w:ascii="メイリオ" w:hAnsi="メイリオ" w:eastAsia="メイリオ"/>
          <w:color w:val="000000" w:themeColor="text1"/>
          <w:sz w:val="24"/>
        </w:rPr>
        <w:t>5</w:t>
      </w:r>
      <w:r>
        <w:rPr>
          <w:rFonts w:hint="default" w:ascii="メイリオ" w:hAnsi="メイリオ" w:eastAsia="メイリオ"/>
          <w:color w:val="000000" w:themeColor="text1"/>
          <w:sz w:val="24"/>
        </w:rPr>
        <w:t>年６月</w:t>
      </w:r>
      <w:r>
        <w:rPr>
          <w:rFonts w:hint="default" w:ascii="メイリオ" w:hAnsi="メイリオ" w:eastAsia="メイリオ"/>
          <w:color w:val="000000" w:themeColor="text1"/>
          <w:sz w:val="24"/>
        </w:rPr>
        <w:t>14</w:t>
      </w:r>
      <w:r>
        <w:rPr>
          <w:rFonts w:hint="default" w:ascii="メイリオ" w:hAnsi="メイリオ" w:eastAsia="メイリオ"/>
          <w:color w:val="000000" w:themeColor="text1"/>
          <w:sz w:val="24"/>
        </w:rPr>
        <w:t>日、認知症の人が尊厳を守りながら希望を持って暮らせるよう、認知症施策を総合的かつ計画的に推進するための国及び地方公共団体の取</w:t>
      </w:r>
      <w:r>
        <w:rPr>
          <w:rFonts w:hint="eastAsia" w:ascii="メイリオ" w:hAnsi="メイリオ" w:eastAsia="メイリオ"/>
          <w:color w:val="000000" w:themeColor="text1"/>
          <w:sz w:val="24"/>
        </w:rPr>
        <w:t>り</w:t>
      </w:r>
      <w:r>
        <w:rPr>
          <w:rFonts w:hint="default" w:ascii="メイリオ" w:hAnsi="メイリオ" w:eastAsia="メイリオ"/>
          <w:color w:val="000000" w:themeColor="text1"/>
          <w:sz w:val="24"/>
        </w:rPr>
        <w:t>組</w:t>
      </w:r>
      <w:r>
        <w:rPr>
          <w:rFonts w:hint="eastAsia" w:ascii="メイリオ" w:hAnsi="メイリオ" w:eastAsia="メイリオ"/>
          <w:color w:val="000000" w:themeColor="text1"/>
          <w:sz w:val="24"/>
        </w:rPr>
        <w:t>み</w:t>
      </w:r>
      <w:r>
        <w:rPr>
          <w:rFonts w:hint="default" w:ascii="メイリオ" w:hAnsi="メイリオ" w:eastAsia="メイリオ"/>
          <w:color w:val="000000" w:themeColor="text1"/>
          <w:sz w:val="24"/>
        </w:rPr>
        <w:t>を定めた「共生社会の実現を推進するための認知症基本法（以下、認知症基本法）」が成立しました。</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認知症基本法の成立に伴い、従来行われてきたさまざまな認知症支援施策が統合され、さらに充実されます。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具体的には、医療機関や障がい者福祉など関係する他分野との連携を促進し、認知症を患う本人の生活支援に加え、介護人材の確保、家族支援、見守り活動などの充実を図ります。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さらに、</w:t>
      </w:r>
      <w:r>
        <w:rPr>
          <w:rFonts w:hint="default" w:ascii="メイリオ" w:hAnsi="メイリオ" w:eastAsia="メイリオ"/>
          <w:color w:val="000000" w:themeColor="text1"/>
          <w:sz w:val="24"/>
        </w:rPr>
        <w:t>認知症に関する正しい知識の普及啓発</w:t>
      </w:r>
      <w:r>
        <w:rPr>
          <w:rFonts w:hint="eastAsia" w:ascii="メイリオ" w:hAnsi="メイリオ" w:eastAsia="メイリオ"/>
          <w:color w:val="000000" w:themeColor="text1"/>
          <w:sz w:val="24"/>
        </w:rPr>
        <w:t>、予防活動、若年性認知症の人への支援、社会参加支援等</w:t>
      </w:r>
      <w:r>
        <w:rPr>
          <w:rFonts w:hint="default" w:ascii="メイリオ" w:hAnsi="メイリオ" w:eastAsia="メイリオ"/>
          <w:color w:val="000000" w:themeColor="text1"/>
          <w:sz w:val="24"/>
        </w:rPr>
        <w:t>により、認知症への社会の理解を深める</w:t>
      </w:r>
      <w:r>
        <w:rPr>
          <w:rFonts w:hint="eastAsia" w:ascii="メイリオ" w:hAnsi="メイリオ" w:eastAsia="メイリオ"/>
          <w:color w:val="000000" w:themeColor="text1"/>
          <w:sz w:val="24"/>
        </w:rPr>
        <w:t>方策を検討します。</w:t>
      </w:r>
    </w:p>
    <w:p>
      <w:pPr>
        <w:pStyle w:val="0"/>
        <w:widowControl w:val="1"/>
        <w:ind w:firstLine="240" w:firstLineChars="100"/>
        <w:jc w:val="left"/>
        <w:rPr>
          <w:rFonts w:hint="default" w:ascii="メイリオ" w:hAnsi="メイリオ" w:eastAsia="メイリオ"/>
          <w:color w:val="000000" w:themeColor="text1"/>
          <w:sz w:val="24"/>
        </w:rPr>
      </w:pPr>
    </w:p>
    <w:p>
      <w:pPr>
        <w:pStyle w:val="40"/>
        <w:rPr>
          <w:rFonts w:hint="default"/>
          <w:color w:val="000000" w:themeColor="text1"/>
        </w:rPr>
      </w:pPr>
      <w:bookmarkStart w:id="11" w:name="_Toc152160495"/>
      <w:r>
        <w:rPr>
          <w:rFonts w:hint="eastAsia"/>
          <w:color w:val="000000" w:themeColor="text1"/>
        </w:rPr>
        <w:t>５　介護予防、健康づくりの推進</w:t>
      </w:r>
      <w:bookmarkEnd w:id="11"/>
      <w:r>
        <w:rPr>
          <w:rFonts w:hint="eastAsia"/>
          <w:color w:val="000000" w:themeColor="text1"/>
        </w:rPr>
        <w:t>と健康寿命の延伸</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年齢を重ねると誰もが身体機能、認知機能が衰えてきます。介護保険は身体機能、認知機能の衰えを補い、健康で生きがいのある生活を送るためのサービスですが、一方でなるべく給付を抑制し、介護保険事業を持続可能なものにするために、高齢者ができるだけ身体的、認知的に介護サービスに頼らずに済むように支援することも求められ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こうした観点から、リハビリテーションの理念を踏まえて「心身機能」「活動」「参加」のそれぞれの要素に働きかけ、介護予防・健康づくりの取り組みを推進し、健康寿命の延伸を図ります。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w:t>
      </w:r>
    </w:p>
    <w:p>
      <w:pPr>
        <w:pStyle w:val="40"/>
        <w:rPr>
          <w:rFonts w:hint="default"/>
          <w:color w:val="000000" w:themeColor="text1"/>
        </w:rPr>
      </w:pPr>
      <w:bookmarkStart w:id="12" w:name="_Toc152160496"/>
      <w:r>
        <w:rPr>
          <w:rFonts w:hint="eastAsia"/>
          <w:color w:val="000000" w:themeColor="text1"/>
        </w:rPr>
        <w:t>６　在宅医療と介護の連携の強化</w:t>
      </w:r>
      <w:bookmarkEnd w:id="12"/>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在宅医療・介護連携の推進により、在宅医療及び介護が円滑に提供される仕組みを構築し、医療ニーズや介護ニーズを併せ持つ高齢者を地域で支えていくために、日常生活圏域において必要となる在宅医療・介護連携のための体制を充実させることが求められ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bookmarkStart w:id="13" w:name="_Toc152160497"/>
      <w:r>
        <w:rPr>
          <w:rFonts w:hint="eastAsia"/>
          <w:color w:val="000000" w:themeColor="text1"/>
        </w:rPr>
        <w:t>７　介護保険給付の適正化</w:t>
      </w:r>
      <w:bookmarkEnd w:id="13"/>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地域包括ケアシステムを含む高齢者支援体制基盤を充実させるために、本町における</w:t>
      </w:r>
      <w:r>
        <w:rPr>
          <w:rFonts w:hint="default" w:ascii="メイリオ" w:hAnsi="メイリオ" w:eastAsia="メイリオ"/>
          <w:color w:val="000000" w:themeColor="text1"/>
          <w:sz w:val="24"/>
        </w:rPr>
        <w:t>保険者機能</w:t>
      </w:r>
      <w:r>
        <w:rPr>
          <w:rFonts w:hint="eastAsia" w:ascii="メイリオ" w:hAnsi="メイリオ" w:eastAsia="メイリオ"/>
          <w:color w:val="000000" w:themeColor="text1"/>
          <w:sz w:val="24"/>
        </w:rPr>
        <w:t>をより一層</w:t>
      </w:r>
      <w:r>
        <w:rPr>
          <w:rFonts w:hint="default" w:ascii="メイリオ" w:hAnsi="メイリオ" w:eastAsia="メイリオ"/>
          <w:color w:val="000000" w:themeColor="text1"/>
          <w:sz w:val="24"/>
        </w:rPr>
        <w:t>強化</w:t>
      </w:r>
      <w:r>
        <w:rPr>
          <w:rFonts w:hint="eastAsia" w:ascii="メイリオ" w:hAnsi="メイリオ" w:eastAsia="メイリオ"/>
          <w:color w:val="000000" w:themeColor="text1"/>
          <w:sz w:val="24"/>
        </w:rPr>
        <w:t>します。そのために、</w:t>
      </w:r>
      <w:r>
        <w:rPr>
          <w:rFonts w:hint="default" w:ascii="メイリオ" w:hAnsi="メイリオ" w:eastAsia="メイリオ"/>
          <w:color w:val="000000" w:themeColor="text1"/>
          <w:sz w:val="24"/>
        </w:rPr>
        <w:t>給付適正化事業の取</w:t>
      </w:r>
      <w:r>
        <w:rPr>
          <w:rFonts w:hint="eastAsia" w:ascii="メイリオ" w:hAnsi="メイリオ" w:eastAsia="メイリオ"/>
          <w:color w:val="000000" w:themeColor="text1"/>
          <w:sz w:val="24"/>
        </w:rPr>
        <w:t>り</w:t>
      </w:r>
      <w:r>
        <w:rPr>
          <w:rFonts w:hint="default" w:ascii="メイリオ" w:hAnsi="メイリオ" w:eastAsia="メイリオ"/>
          <w:color w:val="000000" w:themeColor="text1"/>
          <w:sz w:val="24"/>
        </w:rPr>
        <w:t>組</w:t>
      </w:r>
      <w:r>
        <w:rPr>
          <w:rFonts w:hint="eastAsia" w:ascii="メイリオ" w:hAnsi="メイリオ" w:eastAsia="メイリオ"/>
          <w:color w:val="000000" w:themeColor="text1"/>
          <w:sz w:val="24"/>
        </w:rPr>
        <w:t>み</w:t>
      </w:r>
      <w:r>
        <w:rPr>
          <w:rFonts w:hint="default" w:ascii="メイリオ" w:hAnsi="メイリオ" w:eastAsia="メイリオ"/>
          <w:color w:val="000000" w:themeColor="text1"/>
          <w:sz w:val="24"/>
        </w:rPr>
        <w:t>の重点化</w:t>
      </w:r>
      <w:r>
        <w:rPr>
          <w:rFonts w:hint="eastAsia" w:ascii="メイリオ" w:hAnsi="メイリオ" w:eastAsia="メイリオ"/>
          <w:color w:val="000000" w:themeColor="text1"/>
          <w:sz w:val="24"/>
        </w:rPr>
        <w:t>や</w:t>
      </w:r>
      <w:r>
        <w:rPr>
          <w:rFonts w:hint="default" w:ascii="メイリオ" w:hAnsi="メイリオ" w:eastAsia="メイリオ"/>
          <w:color w:val="000000" w:themeColor="text1"/>
          <w:sz w:val="24"/>
        </w:rPr>
        <w:t>内容の充実・見える化</w:t>
      </w:r>
      <w:r>
        <w:rPr>
          <w:rFonts w:hint="eastAsia" w:ascii="メイリオ" w:hAnsi="メイリオ" w:eastAsia="メイリオ"/>
          <w:color w:val="000000" w:themeColor="text1"/>
          <w:sz w:val="24"/>
        </w:rPr>
        <w:t>を図ります。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bookmarkStart w:id="14" w:name="_Toc152160498"/>
      <w:r>
        <w:rPr>
          <w:rFonts w:hint="eastAsia"/>
          <w:color w:val="000000" w:themeColor="text1"/>
        </w:rPr>
        <w:t>８　地域の実情に合わせた取り組みの取捨選択</w:t>
      </w:r>
      <w:bookmarkEnd w:id="14"/>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保険者である市町村は、実態把握、課題分析を踏まえ、関係者間で共有するとともに、その達成に向けた具体的な計画を策定し、自立支援や介護予防に向けた様々な取り組みを推進して実績を評価し、必要な見直しを行うという取り組みを行い、地域をデザインする保険者機能を強化していく事が重要と考え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6"/>
        <w:rPr>
          <w:rFonts w:hint="default"/>
          <w:color w:val="000000" w:themeColor="text1"/>
        </w:rPr>
      </w:pPr>
      <w:bookmarkStart w:id="15" w:name="_Toc154129923"/>
      <w:r>
        <w:rPr>
          <w:rFonts w:hint="eastAsia"/>
          <w:color w:val="000000" w:themeColor="text1"/>
        </w:rPr>
        <w:t>第２章　本町の高齢者を取り巻く状況と課題</w:t>
      </w:r>
      <w:bookmarkEnd w:id="15"/>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16" w:name="_Toc154129924"/>
      <w:r>
        <w:rPr>
          <w:rFonts w:hint="eastAsia"/>
          <w:color w:val="000000" w:themeColor="text1"/>
        </w:rPr>
        <w:t>第１節　高齢者の現状</w:t>
      </w:r>
      <w:bookmarkEnd w:id="16"/>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人口構成</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令和</w:t>
      </w:r>
      <w:r>
        <w:rPr>
          <w:rFonts w:hint="eastAsia" w:ascii="メイリオ" w:hAnsi="メイリオ" w:eastAsia="メイリオ"/>
          <w:color w:val="000000" w:themeColor="text1"/>
          <w:sz w:val="24"/>
        </w:rPr>
        <w:t>5</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月現在の本町の人口構成は以下のとおりです。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男性で最も多い年齢層は</w:t>
      </w:r>
      <w:r>
        <w:rPr>
          <w:rFonts w:hint="eastAsia" w:ascii="メイリオ" w:hAnsi="メイリオ" w:eastAsia="メイリオ"/>
          <w:color w:val="000000" w:themeColor="text1"/>
          <w:sz w:val="24"/>
        </w:rPr>
        <w:t>70</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74</w:t>
      </w:r>
      <w:r>
        <w:rPr>
          <w:rFonts w:hint="eastAsia" w:ascii="メイリオ" w:hAnsi="メイリオ" w:eastAsia="メイリオ"/>
          <w:color w:val="000000" w:themeColor="text1"/>
          <w:sz w:val="24"/>
        </w:rPr>
        <w:t>歳で</w:t>
      </w:r>
      <w:r>
        <w:rPr>
          <w:rFonts w:hint="eastAsia" w:ascii="メイリオ" w:hAnsi="メイリオ" w:eastAsia="メイリオ"/>
          <w:color w:val="000000" w:themeColor="text1"/>
          <w:sz w:val="24"/>
        </w:rPr>
        <w:t>89</w:t>
      </w:r>
      <w:r>
        <w:rPr>
          <w:rFonts w:hint="eastAsia" w:ascii="メイリオ" w:hAnsi="メイリオ" w:eastAsia="メイリオ"/>
          <w:color w:val="000000" w:themeColor="text1"/>
          <w:sz w:val="24"/>
        </w:rPr>
        <w:t>人、女性で最も多い年齢層は</w:t>
      </w:r>
      <w:r>
        <w:rPr>
          <w:rFonts w:hint="eastAsia" w:ascii="メイリオ" w:hAnsi="メイリオ" w:eastAsia="メイリオ"/>
          <w:color w:val="000000" w:themeColor="text1"/>
          <w:sz w:val="24"/>
        </w:rPr>
        <w:t>75</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79</w:t>
      </w:r>
      <w:r>
        <w:rPr>
          <w:rFonts w:hint="eastAsia" w:ascii="メイリオ" w:hAnsi="メイリオ" w:eastAsia="メイリオ"/>
          <w:color w:val="000000" w:themeColor="text1"/>
          <w:sz w:val="24"/>
        </w:rPr>
        <w:t>歳で</w:t>
      </w:r>
      <w:r>
        <w:rPr>
          <w:rFonts w:hint="eastAsia" w:ascii="メイリオ" w:hAnsi="メイリオ" w:eastAsia="メイリオ"/>
          <w:color w:val="000000" w:themeColor="text1"/>
          <w:sz w:val="24"/>
        </w:rPr>
        <w:t>114</w:t>
      </w:r>
      <w:r>
        <w:rPr>
          <w:rFonts w:hint="eastAsia" w:ascii="メイリオ" w:hAnsi="メイリオ" w:eastAsia="メイリオ"/>
          <w:color w:val="000000" w:themeColor="text1"/>
          <w:sz w:val="24"/>
        </w:rPr>
        <w:t>人です。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年齢層の区切りによって多少の増減はあるものの、若年層ほど少なく、高齢者が多い特徴があります。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style="mso-position-vertical-relative:text;z-index:28;width:427.6pt;height:337.1pt;mso-position-horizontal-relative:text;position:absolute;margin-left:0pt;margin-top:7.65pt;" filled="f" o:spt="75" type="#_x0000_t75">
            <v:fill/>
            <v:stroke joinstyle="miter"/>
            <v:imagedata o:title="" r:id="rId9"/>
            <o:lock v:ext="edit" aspectratio="t"/>
            <w10:wrap type="none" anchorx="text" anchory="text"/>
          </v:shape>
          <o:OLEObject Type="Embed" ProgID="AcroExch.Document.DC" ShapeID="_x0000_s1048" DrawAspect="Content" ObjectID="" r:id="rId10"/>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住民基本台帳</w:t>
      </w:r>
    </w:p>
    <w:p>
      <w:pPr>
        <w:pStyle w:val="40"/>
        <w:rPr>
          <w:rFonts w:hint="default"/>
          <w:color w:val="000000" w:themeColor="text1"/>
        </w:rPr>
      </w:pPr>
      <w:r>
        <w:rPr>
          <w:rFonts w:hint="eastAsia"/>
          <w:color w:val="000000" w:themeColor="text1"/>
        </w:rPr>
        <w:t>２　人口構成の推移</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本町の人口の推移と予測は以下のとおりです。</w:t>
      </w:r>
    </w:p>
    <w:p>
      <w:pPr>
        <w:pStyle w:val="0"/>
        <w:widowControl w:val="1"/>
        <w:ind w:left="0" w:leftChars="0" w:right="-210" w:rightChars="-100" w:hanging="240" w:hangingChars="100"/>
        <w:jc w:val="left"/>
        <w:rPr>
          <w:rFonts w:hint="eastAsia" w:ascii="メイリオ" w:hAnsi="メイリオ" w:eastAsia="メイリオ"/>
          <w:color w:val="auto"/>
          <w:sz w:val="24"/>
        </w:rPr>
      </w:pPr>
      <w:r>
        <w:rPr>
          <w:rFonts w:hint="eastAsia" w:ascii="メイリオ" w:hAnsi="メイリオ" w:eastAsia="メイリオ"/>
          <w:color w:val="auto"/>
          <w:sz w:val="24"/>
        </w:rPr>
        <w:t>　　昭和</w:t>
      </w:r>
      <w:r>
        <w:rPr>
          <w:rFonts w:hint="eastAsia" w:ascii="メイリオ" w:hAnsi="メイリオ" w:eastAsia="メイリオ"/>
          <w:color w:val="auto"/>
          <w:sz w:val="24"/>
        </w:rPr>
        <w:t>60</w:t>
      </w:r>
      <w:r>
        <w:rPr>
          <w:rFonts w:hint="eastAsia" w:ascii="メイリオ" w:hAnsi="メイリオ" w:eastAsia="メイリオ"/>
          <w:color w:val="auto"/>
          <w:sz w:val="24"/>
        </w:rPr>
        <w:t>（</w:t>
      </w:r>
      <w:r>
        <w:rPr>
          <w:rFonts w:hint="eastAsia" w:ascii="メイリオ" w:hAnsi="メイリオ" w:eastAsia="メイリオ"/>
          <w:color w:val="auto"/>
          <w:sz w:val="24"/>
        </w:rPr>
        <w:t>1985</w:t>
      </w:r>
      <w:r>
        <w:rPr>
          <w:rFonts w:hint="eastAsia" w:ascii="メイリオ" w:hAnsi="メイリオ" w:eastAsia="メイリオ"/>
          <w:color w:val="auto"/>
          <w:sz w:val="24"/>
        </w:rPr>
        <w:t>）年代から一貫して人口が減少しており、令和</w:t>
      </w:r>
      <w:r>
        <w:rPr>
          <w:rFonts w:hint="eastAsia" w:ascii="メイリオ" w:hAnsi="メイリオ" w:eastAsia="メイリオ"/>
          <w:color w:val="auto"/>
          <w:sz w:val="24"/>
        </w:rPr>
        <w:t>27</w:t>
      </w:r>
      <w:r>
        <w:rPr>
          <w:rFonts w:hint="eastAsia" w:ascii="メイリオ" w:hAnsi="メイリオ" w:eastAsia="メイリオ"/>
          <w:color w:val="auto"/>
          <w:sz w:val="24"/>
        </w:rPr>
        <w:t>（</w:t>
      </w:r>
      <w:r>
        <w:rPr>
          <w:rFonts w:hint="eastAsia" w:ascii="メイリオ" w:hAnsi="メイリオ" w:eastAsia="メイリオ"/>
          <w:color w:val="auto"/>
          <w:sz w:val="24"/>
        </w:rPr>
        <w:t>2045</w:t>
      </w:r>
      <w:r>
        <w:rPr>
          <w:rFonts w:hint="eastAsia" w:ascii="メイリオ" w:hAnsi="メイリオ" w:eastAsia="メイリオ"/>
          <w:color w:val="auto"/>
          <w:sz w:val="24"/>
        </w:rPr>
        <w:t>）年には</w:t>
      </w:r>
      <w:r>
        <w:rPr>
          <w:rFonts w:hint="eastAsia" w:ascii="メイリオ" w:hAnsi="メイリオ" w:eastAsia="メイリオ"/>
          <w:color w:val="auto"/>
          <w:sz w:val="24"/>
        </w:rPr>
        <w:t>1,275</w:t>
      </w:r>
      <w:r>
        <w:rPr>
          <w:rFonts w:hint="eastAsia" w:ascii="メイリオ" w:hAnsi="メイリオ" w:eastAsia="メイリオ"/>
          <w:color w:val="auto"/>
          <w:sz w:val="24"/>
        </w:rPr>
        <w:t>人と、昭和</w:t>
      </w:r>
      <w:r>
        <w:rPr>
          <w:rFonts w:hint="eastAsia" w:ascii="メイリオ" w:hAnsi="メイリオ" w:eastAsia="メイリオ"/>
          <w:color w:val="auto"/>
          <w:sz w:val="24"/>
        </w:rPr>
        <w:t>60</w:t>
      </w:r>
      <w:r>
        <w:rPr>
          <w:rFonts w:hint="eastAsia" w:ascii="メイリオ" w:hAnsi="メイリオ" w:eastAsia="メイリオ"/>
          <w:color w:val="auto"/>
          <w:sz w:val="24"/>
        </w:rPr>
        <w:t>（</w:t>
      </w:r>
      <w:r>
        <w:rPr>
          <w:rFonts w:hint="eastAsia" w:ascii="メイリオ" w:hAnsi="メイリオ" w:eastAsia="メイリオ"/>
          <w:color w:val="auto"/>
          <w:sz w:val="24"/>
        </w:rPr>
        <w:t>1985</w:t>
      </w:r>
      <w:r>
        <w:rPr>
          <w:rFonts w:hint="eastAsia" w:ascii="メイリオ" w:hAnsi="メイリオ" w:eastAsia="メイリオ"/>
          <w:color w:val="auto"/>
          <w:sz w:val="24"/>
        </w:rPr>
        <w:t>）年の</w:t>
      </w:r>
      <w:r>
        <w:rPr>
          <w:rFonts w:hint="eastAsia" w:ascii="メイリオ" w:hAnsi="メイリオ" w:eastAsia="メイリオ"/>
          <w:color w:val="auto"/>
          <w:sz w:val="24"/>
        </w:rPr>
        <w:t>3</w:t>
      </w:r>
      <w:r>
        <w:rPr>
          <w:rFonts w:hint="eastAsia" w:ascii="メイリオ" w:hAnsi="メイリオ" w:eastAsia="メイリオ"/>
          <w:color w:val="auto"/>
          <w:sz w:val="24"/>
        </w:rPr>
        <w:t>分の１以下、平成</w:t>
      </w:r>
      <w:r>
        <w:rPr>
          <w:rFonts w:hint="eastAsia" w:ascii="メイリオ" w:hAnsi="メイリオ" w:eastAsia="メイリオ"/>
          <w:color w:val="auto"/>
          <w:sz w:val="24"/>
        </w:rPr>
        <w:t>27</w:t>
      </w:r>
      <w:r>
        <w:rPr>
          <w:rFonts w:hint="eastAsia" w:ascii="メイリオ" w:hAnsi="メイリオ" w:eastAsia="メイリオ"/>
          <w:color w:val="auto"/>
          <w:sz w:val="24"/>
        </w:rPr>
        <w:t>（</w:t>
      </w:r>
      <w:r>
        <w:rPr>
          <w:rFonts w:hint="eastAsia" w:ascii="メイリオ" w:hAnsi="メイリオ" w:eastAsia="メイリオ"/>
          <w:color w:val="auto"/>
          <w:sz w:val="24"/>
        </w:rPr>
        <w:t>2015</w:t>
      </w:r>
      <w:r>
        <w:rPr>
          <w:rFonts w:hint="eastAsia" w:ascii="メイリオ" w:hAnsi="メイリオ" w:eastAsia="メイリオ"/>
          <w:color w:val="auto"/>
          <w:sz w:val="24"/>
        </w:rPr>
        <w:t>）年の半分程度まで減少する見込みです。</w:t>
      </w:r>
    </w:p>
    <w:p>
      <w:pPr>
        <w:pStyle w:val="0"/>
        <w:widowControl w:val="1"/>
        <w:ind w:left="240" w:hanging="240" w:hangingChars="100"/>
        <w:jc w:val="left"/>
        <w:rPr>
          <w:rFonts w:hint="eastAsia" w:ascii="メイリオ" w:hAnsi="メイリオ" w:eastAsia="メイリオ"/>
          <w:color w:val="auto"/>
          <w:sz w:val="24"/>
        </w:rPr>
      </w:pPr>
      <w:r>
        <w:rPr>
          <w:rFonts w:hint="eastAsia" w:ascii="メイリオ" w:hAnsi="メイリオ" w:eastAsia="メイリオ"/>
          <w:color w:val="auto"/>
          <w:sz w:val="24"/>
        </w:rPr>
        <w:t>　　内訳をみると年少人口と生産年齢人口の減少が顕著であり、高齢者人口は減少のスピードが緩く、令和</w:t>
      </w:r>
      <w:r>
        <w:rPr>
          <w:rFonts w:hint="eastAsia" w:ascii="メイリオ" w:hAnsi="メイリオ" w:eastAsia="メイリオ"/>
          <w:color w:val="auto"/>
          <w:sz w:val="24"/>
        </w:rPr>
        <w:t>2</w:t>
      </w:r>
      <w:r>
        <w:rPr>
          <w:rFonts w:hint="eastAsia" w:ascii="メイリオ" w:hAnsi="メイリオ" w:eastAsia="メイリオ"/>
          <w:color w:val="auto"/>
          <w:sz w:val="24"/>
        </w:rPr>
        <w:t>年（</w:t>
      </w:r>
      <w:r>
        <w:rPr>
          <w:rFonts w:hint="eastAsia" w:ascii="メイリオ" w:hAnsi="メイリオ" w:eastAsia="メイリオ"/>
          <w:color w:val="auto"/>
          <w:sz w:val="24"/>
        </w:rPr>
        <w:t>2020</w:t>
      </w:r>
      <w:r>
        <w:rPr>
          <w:rFonts w:hint="eastAsia" w:ascii="メイリオ" w:hAnsi="メイリオ" w:eastAsia="メイリオ"/>
          <w:color w:val="auto"/>
          <w:sz w:val="24"/>
        </w:rPr>
        <w:t>）年から令和</w:t>
      </w:r>
      <w:r>
        <w:rPr>
          <w:rFonts w:hint="eastAsia" w:ascii="メイリオ" w:hAnsi="メイリオ" w:eastAsia="メイリオ"/>
          <w:color w:val="auto"/>
          <w:sz w:val="24"/>
        </w:rPr>
        <w:t>22</w:t>
      </w:r>
      <w:r>
        <w:rPr>
          <w:rFonts w:hint="eastAsia" w:ascii="メイリオ" w:hAnsi="メイリオ" w:eastAsia="メイリオ"/>
          <w:color w:val="auto"/>
          <w:sz w:val="24"/>
        </w:rPr>
        <w:t>（</w:t>
      </w:r>
      <w:r>
        <w:rPr>
          <w:rFonts w:hint="eastAsia" w:ascii="メイリオ" w:hAnsi="メイリオ" w:eastAsia="メイリオ"/>
          <w:color w:val="auto"/>
          <w:sz w:val="24"/>
        </w:rPr>
        <w:t>2040</w:t>
      </w:r>
      <w:r>
        <w:rPr>
          <w:rFonts w:hint="eastAsia" w:ascii="メイリオ" w:hAnsi="メイリオ" w:eastAsia="メイリオ"/>
          <w:color w:val="auto"/>
          <w:sz w:val="24"/>
        </w:rPr>
        <w:t>）年まで横ばいに経過する見込みです。</w:t>
      </w:r>
    </w:p>
    <w:p>
      <w:pPr>
        <w:pStyle w:val="0"/>
        <w:widowControl w:val="1"/>
        <w:jc w:val="left"/>
        <w:rPr>
          <w:rFonts w:hint="default" w:ascii="メイリオ" w:hAnsi="メイリオ" w:eastAsia="メイリオ"/>
          <w:color w:val="000000" w:themeColor="text1"/>
          <w:sz w:val="24"/>
        </w:rPr>
      </w:pPr>
      <w:r>
        <w:rPr>
          <w:rFonts w:hint="eastAsia"/>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style="mso-position-vertical-relative:text;z-index:29;width:464.75pt;height:336.8pt;mso-position-horizontal-relative:text;position:absolute;margin-left:-29.7pt;margin-top:22.55pt;" o:allowincell="t" filled="f" o:spt="75" type="#_x0000_t75">
            <v:fill/>
            <v:stroke joinstyle="miter"/>
            <v:imagedata o:title="" r:id="rId11"/>
            <o:lock v:ext="edit" aspectratio="t"/>
            <w10:wrap type="none" anchorx="text" anchory="text"/>
          </v:shape>
          <o:OLEObject Type="Embed" ProgID="AcroExch.Document.DC" ShapeID="_x0000_s1049" DrawAspect="Content" ObjectID="" r:id="rId12"/>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rPr>
        <mc:AlternateContent>
          <mc:Choice Requires="wps">
            <w:drawing>
              <wp:anchor distT="0" distB="0" distL="71755" distR="71755" simplePos="0" relativeHeight="63" behindDoc="0" locked="0" layoutInCell="1" hidden="0" allowOverlap="1">
                <wp:simplePos x="0" y="0"/>
                <wp:positionH relativeFrom="column">
                  <wp:posOffset>4638675</wp:posOffset>
                </wp:positionH>
                <wp:positionV relativeFrom="paragraph">
                  <wp:posOffset>190500</wp:posOffset>
                </wp:positionV>
                <wp:extent cx="1518285" cy="79565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1518285" cy="79565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spacing w:line="276" w:lineRule="auto"/>
                              <w:rPr>
                                <w:rFonts w:hint="eastAsia" w:ascii="メイリオ" w:hAnsi="メイリオ" w:eastAsia="メイリオ"/>
                                <w:sz w:val="14"/>
                              </w:rPr>
                            </w:pPr>
                            <w:r>
                              <w:rPr>
                                <w:rFonts w:hint="eastAsia" w:ascii="メイリオ" w:hAnsi="メイリオ" w:eastAsia="メイリオ"/>
                                <w:sz w:val="14"/>
                              </w:rPr>
                              <w:t>総人口</w:t>
                            </w:r>
                          </w:p>
                          <w:p>
                            <w:pPr>
                              <w:pStyle w:val="0"/>
                              <w:snapToGrid w:val="0"/>
                              <w:spacing w:line="276" w:lineRule="auto"/>
                              <w:rPr>
                                <w:rFonts w:hint="eastAsia" w:ascii="メイリオ" w:hAnsi="メイリオ" w:eastAsia="メイリオ"/>
                                <w:color w:val="auto"/>
                                <w:sz w:val="14"/>
                              </w:rPr>
                            </w:pPr>
                            <w:r>
                              <w:rPr>
                                <w:rFonts w:hint="eastAsia" w:ascii="メイリオ" w:hAnsi="メイリオ" w:eastAsia="メイリオ"/>
                                <w:sz w:val="14"/>
                              </w:rPr>
                              <w:t>年少人口</w:t>
                            </w:r>
                            <w:r>
                              <w:rPr>
                                <w:rFonts w:hint="eastAsia" w:ascii="メイリオ" w:hAnsi="メイリオ" w:eastAsia="メイリオ"/>
                                <w:color w:val="auto"/>
                                <w:sz w:val="14"/>
                              </w:rPr>
                              <w:t>（</w:t>
                            </w:r>
                            <w:r>
                              <w:rPr>
                                <w:rFonts w:hint="eastAsia" w:ascii="メイリオ" w:hAnsi="メイリオ" w:eastAsia="メイリオ"/>
                                <w:color w:val="auto"/>
                                <w:sz w:val="14"/>
                              </w:rPr>
                              <w:t>15</w:t>
                            </w:r>
                            <w:r>
                              <w:rPr>
                                <w:rFonts w:hint="eastAsia" w:ascii="メイリオ" w:hAnsi="メイリオ" w:eastAsia="メイリオ"/>
                                <w:color w:val="auto"/>
                                <w:sz w:val="14"/>
                              </w:rPr>
                              <w:t>歳未満）</w:t>
                            </w:r>
                          </w:p>
                          <w:p>
                            <w:pPr>
                              <w:pStyle w:val="0"/>
                              <w:snapToGrid w:val="0"/>
                              <w:spacing w:line="276" w:lineRule="auto"/>
                              <w:rPr>
                                <w:rFonts w:hint="eastAsia" w:ascii="メイリオ" w:hAnsi="メイリオ" w:eastAsia="メイリオ"/>
                                <w:color w:val="auto"/>
                                <w:sz w:val="14"/>
                              </w:rPr>
                            </w:pPr>
                            <w:r>
                              <w:rPr>
                                <w:rFonts w:hint="eastAsia" w:ascii="メイリオ" w:hAnsi="メイリオ" w:eastAsia="メイリオ"/>
                                <w:color w:val="auto"/>
                                <w:sz w:val="14"/>
                              </w:rPr>
                              <w:t>生産年齢人口（</w:t>
                            </w:r>
                            <w:r>
                              <w:rPr>
                                <w:rFonts w:hint="eastAsia" w:ascii="メイリオ" w:hAnsi="メイリオ" w:eastAsia="メイリオ"/>
                                <w:color w:val="auto"/>
                                <w:sz w:val="14"/>
                              </w:rPr>
                              <w:t>15</w:t>
                            </w:r>
                            <w:r>
                              <w:rPr>
                                <w:rFonts w:hint="eastAsia" w:ascii="メイリオ" w:hAnsi="メイリオ" w:eastAsia="メイリオ"/>
                                <w:color w:val="auto"/>
                                <w:sz w:val="14"/>
                              </w:rPr>
                              <w:t>～</w:t>
                            </w:r>
                            <w:r>
                              <w:rPr>
                                <w:rFonts w:hint="eastAsia" w:ascii="メイリオ" w:hAnsi="メイリオ" w:eastAsia="メイリオ"/>
                                <w:color w:val="auto"/>
                                <w:sz w:val="14"/>
                              </w:rPr>
                              <w:t>64</w:t>
                            </w:r>
                            <w:r>
                              <w:rPr>
                                <w:rFonts w:hint="eastAsia" w:ascii="メイリオ" w:hAnsi="メイリオ" w:eastAsia="メイリオ"/>
                                <w:color w:val="auto"/>
                                <w:sz w:val="14"/>
                              </w:rPr>
                              <w:t>歳未満）</w:t>
                            </w:r>
                          </w:p>
                          <w:p>
                            <w:pPr>
                              <w:pStyle w:val="0"/>
                              <w:snapToGrid w:val="0"/>
                              <w:spacing w:line="276" w:lineRule="auto"/>
                              <w:rPr>
                                <w:rFonts w:hint="eastAsia" w:ascii="メイリオ" w:hAnsi="メイリオ" w:eastAsia="メイリオ"/>
                                <w:color w:val="auto"/>
                                <w:sz w:val="16"/>
                              </w:rPr>
                            </w:pPr>
                            <w:r>
                              <w:rPr>
                                <w:rFonts w:hint="eastAsia" w:ascii="メイリオ" w:hAnsi="メイリオ" w:eastAsia="メイリオ"/>
                                <w:color w:val="auto"/>
                                <w:sz w:val="14"/>
                              </w:rPr>
                              <w:t>高齢者人口（</w:t>
                            </w:r>
                            <w:r>
                              <w:rPr>
                                <w:rFonts w:hint="eastAsia" w:ascii="メイリオ" w:hAnsi="メイリオ" w:eastAsia="メイリオ"/>
                                <w:color w:val="auto"/>
                                <w:sz w:val="14"/>
                              </w:rPr>
                              <w:t>65</w:t>
                            </w:r>
                            <w:r>
                              <w:rPr>
                                <w:rFonts w:hint="eastAsia" w:ascii="メイリオ" w:hAnsi="メイリオ" w:eastAsia="メイリオ"/>
                                <w:color w:val="auto"/>
                                <w:sz w:val="14"/>
                              </w:rPr>
                              <w:t>歳以上）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3;mso-wrap-distance-left:5.65pt;width:119.55pt;height:62.65pt;mso-position-horizontal-relative:text;position:absolute;margin-left:365.25pt;margin-top:15pt;mso-wrap-distance-bottom:0pt;mso-wrap-distance-right:5.65pt;mso-wrap-distance-top:0pt;" o:spid="_x0000_s1050" o:allowincell="t" o:allowoverlap="t" filled="t" fillcolor="#ffffff [3201]" stroked="f" strokeweight="0.5pt" o:spt="202" type="#_x0000_t202">
                <v:fill/>
                <v:stroke linestyle="single"/>
                <v:textbox style="layout-flow:horizontal;" inset="2.0637499999999998mm,0.24694444444444438mm,2.0637499999999998mm,0.24694444444444438mm">
                  <w:txbxContent>
                    <w:p>
                      <w:pPr>
                        <w:pStyle w:val="0"/>
                        <w:snapToGrid w:val="0"/>
                        <w:spacing w:line="276" w:lineRule="auto"/>
                        <w:rPr>
                          <w:rFonts w:hint="eastAsia" w:ascii="メイリオ" w:hAnsi="メイリオ" w:eastAsia="メイリオ"/>
                          <w:sz w:val="14"/>
                        </w:rPr>
                      </w:pPr>
                      <w:r>
                        <w:rPr>
                          <w:rFonts w:hint="eastAsia" w:ascii="メイリオ" w:hAnsi="メイリオ" w:eastAsia="メイリオ"/>
                          <w:sz w:val="14"/>
                        </w:rPr>
                        <w:t>総人口</w:t>
                      </w:r>
                    </w:p>
                    <w:p>
                      <w:pPr>
                        <w:pStyle w:val="0"/>
                        <w:snapToGrid w:val="0"/>
                        <w:spacing w:line="276" w:lineRule="auto"/>
                        <w:rPr>
                          <w:rFonts w:hint="eastAsia" w:ascii="メイリオ" w:hAnsi="メイリオ" w:eastAsia="メイリオ"/>
                          <w:color w:val="auto"/>
                          <w:sz w:val="14"/>
                        </w:rPr>
                      </w:pPr>
                      <w:r>
                        <w:rPr>
                          <w:rFonts w:hint="eastAsia" w:ascii="メイリオ" w:hAnsi="メイリオ" w:eastAsia="メイリオ"/>
                          <w:sz w:val="14"/>
                        </w:rPr>
                        <w:t>年少人口</w:t>
                      </w:r>
                      <w:r>
                        <w:rPr>
                          <w:rFonts w:hint="eastAsia" w:ascii="メイリオ" w:hAnsi="メイリオ" w:eastAsia="メイリオ"/>
                          <w:color w:val="auto"/>
                          <w:sz w:val="14"/>
                        </w:rPr>
                        <w:t>（</w:t>
                      </w:r>
                      <w:r>
                        <w:rPr>
                          <w:rFonts w:hint="eastAsia" w:ascii="メイリオ" w:hAnsi="メイリオ" w:eastAsia="メイリオ"/>
                          <w:color w:val="auto"/>
                          <w:sz w:val="14"/>
                        </w:rPr>
                        <w:t>15</w:t>
                      </w:r>
                      <w:r>
                        <w:rPr>
                          <w:rFonts w:hint="eastAsia" w:ascii="メイリオ" w:hAnsi="メイリオ" w:eastAsia="メイリオ"/>
                          <w:color w:val="auto"/>
                          <w:sz w:val="14"/>
                        </w:rPr>
                        <w:t>歳未満）</w:t>
                      </w:r>
                    </w:p>
                    <w:p>
                      <w:pPr>
                        <w:pStyle w:val="0"/>
                        <w:snapToGrid w:val="0"/>
                        <w:spacing w:line="276" w:lineRule="auto"/>
                        <w:rPr>
                          <w:rFonts w:hint="eastAsia" w:ascii="メイリオ" w:hAnsi="メイリオ" w:eastAsia="メイリオ"/>
                          <w:color w:val="auto"/>
                          <w:sz w:val="14"/>
                        </w:rPr>
                      </w:pPr>
                      <w:r>
                        <w:rPr>
                          <w:rFonts w:hint="eastAsia" w:ascii="メイリオ" w:hAnsi="メイリオ" w:eastAsia="メイリオ"/>
                          <w:color w:val="auto"/>
                          <w:sz w:val="14"/>
                        </w:rPr>
                        <w:t>生産年齢人口（</w:t>
                      </w:r>
                      <w:r>
                        <w:rPr>
                          <w:rFonts w:hint="eastAsia" w:ascii="メイリオ" w:hAnsi="メイリオ" w:eastAsia="メイリオ"/>
                          <w:color w:val="auto"/>
                          <w:sz w:val="14"/>
                        </w:rPr>
                        <w:t>15</w:t>
                      </w:r>
                      <w:r>
                        <w:rPr>
                          <w:rFonts w:hint="eastAsia" w:ascii="メイリオ" w:hAnsi="メイリオ" w:eastAsia="メイリオ"/>
                          <w:color w:val="auto"/>
                          <w:sz w:val="14"/>
                        </w:rPr>
                        <w:t>～</w:t>
                      </w:r>
                      <w:r>
                        <w:rPr>
                          <w:rFonts w:hint="eastAsia" w:ascii="メイリオ" w:hAnsi="メイリオ" w:eastAsia="メイリオ"/>
                          <w:color w:val="auto"/>
                          <w:sz w:val="14"/>
                        </w:rPr>
                        <w:t>64</w:t>
                      </w:r>
                      <w:r>
                        <w:rPr>
                          <w:rFonts w:hint="eastAsia" w:ascii="メイリオ" w:hAnsi="メイリオ" w:eastAsia="メイリオ"/>
                          <w:color w:val="auto"/>
                          <w:sz w:val="14"/>
                        </w:rPr>
                        <w:t>歳未満）</w:t>
                      </w:r>
                    </w:p>
                    <w:p>
                      <w:pPr>
                        <w:pStyle w:val="0"/>
                        <w:snapToGrid w:val="0"/>
                        <w:spacing w:line="276" w:lineRule="auto"/>
                        <w:rPr>
                          <w:rFonts w:hint="eastAsia" w:ascii="メイリオ" w:hAnsi="メイリオ" w:eastAsia="メイリオ"/>
                          <w:color w:val="auto"/>
                          <w:sz w:val="16"/>
                        </w:rPr>
                      </w:pPr>
                      <w:r>
                        <w:rPr>
                          <w:rFonts w:hint="eastAsia" w:ascii="メイリオ" w:hAnsi="メイリオ" w:eastAsia="メイリオ"/>
                          <w:color w:val="auto"/>
                          <w:sz w:val="14"/>
                        </w:rPr>
                        <w:t>高齢者人口（</w:t>
                      </w:r>
                      <w:r>
                        <w:rPr>
                          <w:rFonts w:hint="eastAsia" w:ascii="メイリオ" w:hAnsi="メイリオ" w:eastAsia="メイリオ"/>
                          <w:color w:val="auto"/>
                          <w:sz w:val="14"/>
                        </w:rPr>
                        <w:t>65</w:t>
                      </w:r>
                      <w:r>
                        <w:rPr>
                          <w:rFonts w:hint="eastAsia" w:ascii="メイリオ" w:hAnsi="メイリオ" w:eastAsia="メイリオ"/>
                          <w:color w:val="auto"/>
                          <w:sz w:val="14"/>
                        </w:rPr>
                        <w:t>歳以上）</w:t>
                      </w:r>
                    </w:p>
                  </w:txbxContent>
                </v:textbox>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ＲＥＳＡＳ</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年齢区分別高齢者数と高齢化率</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高齢者については</w:t>
      </w:r>
      <w:r>
        <w:rPr>
          <w:rFonts w:hint="eastAsia" w:ascii="メイリオ" w:hAnsi="メイリオ" w:eastAsia="メイリオ"/>
          <w:color w:val="000000" w:themeColor="text1"/>
          <w:sz w:val="24"/>
        </w:rPr>
        <w:t>65</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74</w:t>
      </w:r>
      <w:r>
        <w:rPr>
          <w:rFonts w:hint="eastAsia" w:ascii="メイリオ" w:hAnsi="メイリオ" w:eastAsia="メイリオ"/>
          <w:color w:val="000000" w:themeColor="text1"/>
          <w:sz w:val="24"/>
        </w:rPr>
        <w:t>歳までを前期高齢者、</w:t>
      </w:r>
      <w:r>
        <w:rPr>
          <w:rFonts w:hint="eastAsia" w:ascii="メイリオ" w:hAnsi="メイリオ" w:eastAsia="メイリオ"/>
          <w:color w:val="000000" w:themeColor="text1"/>
          <w:sz w:val="24"/>
        </w:rPr>
        <w:t>75</w:t>
      </w:r>
      <w:r>
        <w:rPr>
          <w:rFonts w:hint="eastAsia" w:ascii="メイリオ" w:hAnsi="メイリオ" w:eastAsia="メイリオ"/>
          <w:color w:val="000000" w:themeColor="text1"/>
          <w:sz w:val="24"/>
        </w:rPr>
        <w:t>歳以上を後期高齢者とします。今後</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年の推計では、前期高齢者、後期高齢者ともに若干減少する見込みです。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総人口に占める高齢者の割合を示す高齢化率は令和</w:t>
      </w:r>
      <w:r>
        <w:rPr>
          <w:rFonts w:hint="eastAsia" w:ascii="メイリオ" w:hAnsi="メイリオ" w:eastAsia="メイリオ"/>
          <w:color w:val="000000" w:themeColor="text1"/>
          <w:sz w:val="24"/>
        </w:rPr>
        <w:t>5</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38.2</w:t>
      </w:r>
      <w:r>
        <w:rPr>
          <w:rFonts w:hint="eastAsia" w:ascii="メイリオ" w:hAnsi="メイリオ" w:eastAsia="メイリオ"/>
          <w:color w:val="000000" w:themeColor="text1"/>
          <w:sz w:val="24"/>
        </w:rPr>
        <w:t>％から本計画の最終年度である令和</w:t>
      </w:r>
      <w:r>
        <w:rPr>
          <w:rFonts w:hint="eastAsia" w:ascii="メイリオ" w:hAnsi="メイリオ" w:eastAsia="メイリオ"/>
          <w:color w:val="000000" w:themeColor="text1"/>
          <w:sz w:val="24"/>
        </w:rPr>
        <w:t>8</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36.4</w:t>
      </w:r>
      <w:r>
        <w:rPr>
          <w:rFonts w:hint="eastAsia" w:ascii="メイリオ" w:hAnsi="メイリオ" w:eastAsia="メイリオ"/>
          <w:color w:val="000000" w:themeColor="text1"/>
          <w:sz w:val="24"/>
        </w:rPr>
        <w:t>％に低下する見込みです。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style="mso-position-vertical-relative:text;z-index:30;width:422.2pt;height:333.05pt;mso-position-horizontal-relative:text;position:absolute;margin-left:0pt;margin-top:6.5pt;" filled="f" o:spt="75" type="#_x0000_t75">
            <v:fill/>
            <v:stroke joinstyle="miter"/>
            <v:imagedata o:title="" r:id="rId13"/>
            <o:lock v:ext="edit" aspectratio="t"/>
            <w10:wrap type="none" anchorx="text" anchory="text"/>
          </v:shape>
          <o:OLEObject Type="Embed" ProgID="AcroExch.Document.DC" ShapeID="_x0000_s1051" DrawAspect="Content" ObjectID="" r:id="rId14"/>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４　世帯構成の変化</w:t>
      </w:r>
      <w:r>
        <w:rPr>
          <w:rFonts w:hint="default"/>
          <w:color w:val="000000" w:themeColor="text1"/>
        </w:rPr>
        <w:tab/>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本町の世帯数の推移は以下のとおりです。一般世帯数は平成</w:t>
      </w:r>
      <w:r>
        <w:rPr>
          <w:rFonts w:hint="eastAsia" w:ascii="メイリオ" w:hAnsi="メイリオ" w:eastAsia="メイリオ"/>
          <w:color w:val="000000" w:themeColor="text1"/>
          <w:sz w:val="24"/>
        </w:rPr>
        <w:t>27</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2015</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1,120</w:t>
      </w:r>
      <w:r>
        <w:rPr>
          <w:rFonts w:hint="eastAsia" w:ascii="メイリオ" w:hAnsi="メイリオ" w:eastAsia="メイリオ"/>
          <w:color w:val="000000" w:themeColor="text1"/>
          <w:sz w:val="24"/>
        </w:rPr>
        <w:t>世帯をピークに令和</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2020</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1,045</w:t>
      </w:r>
      <w:r>
        <w:rPr>
          <w:rFonts w:hint="eastAsia" w:ascii="メイリオ" w:hAnsi="メイリオ" w:eastAsia="メイリオ"/>
          <w:color w:val="000000" w:themeColor="text1"/>
          <w:sz w:val="24"/>
        </w:rPr>
        <w:t>世帯まで減少しています。高齢者を含む世帯もこの間</w:t>
      </w:r>
      <w:r>
        <w:rPr>
          <w:rFonts w:hint="eastAsia" w:ascii="メイリオ" w:hAnsi="メイリオ" w:eastAsia="メイリオ"/>
          <w:color w:val="000000" w:themeColor="text1"/>
          <w:sz w:val="24"/>
        </w:rPr>
        <w:t>15</w:t>
      </w:r>
      <w:r>
        <w:rPr>
          <w:rFonts w:hint="eastAsia" w:ascii="メイリオ" w:hAnsi="メイリオ" w:eastAsia="メイリオ"/>
          <w:color w:val="000000" w:themeColor="text1"/>
          <w:sz w:val="24"/>
        </w:rPr>
        <w:t>世帯減少していますが、高齢者の独居世帯は</w:t>
      </w:r>
      <w:r>
        <w:rPr>
          <w:rFonts w:hint="eastAsia" w:ascii="メイリオ" w:hAnsi="メイリオ" w:eastAsia="メイリオ"/>
          <w:color w:val="000000" w:themeColor="text1"/>
          <w:sz w:val="24"/>
        </w:rPr>
        <w:t>20</w:t>
      </w:r>
      <w:r>
        <w:rPr>
          <w:rFonts w:hint="eastAsia" w:ascii="メイリオ" w:hAnsi="メイリオ" w:eastAsia="メイリオ"/>
          <w:color w:val="000000" w:themeColor="text1"/>
          <w:sz w:val="24"/>
        </w:rPr>
        <w:t>世帯増加しています。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style="mso-position-vertical-relative:text;z-index:31;width:426.05pt;height:335.85pt;mso-position-horizontal-relative:text;position:absolute;margin-left:4.45pt;margin-top:2.1pt;" filled="f" o:spt="75" type="#_x0000_t75">
            <v:fill/>
            <v:stroke joinstyle="miter"/>
            <v:imagedata o:title="" r:id="rId15"/>
            <o:lock v:ext="edit" aspectratio="t"/>
            <w10:wrap type="none" anchorx="text" anchory="text"/>
          </v:shape>
          <o:OLEObject Type="Embed" ProgID="AcroExch.Document.DC" ShapeID="_x0000_s1052" DrawAspect="Content" ObjectID="" r:id="rId16"/>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５　高齢者の就労状況</w:t>
      </w:r>
      <w:r>
        <w:rPr>
          <w:rFonts w:hint="default"/>
          <w:color w:val="000000" w:themeColor="text1"/>
        </w:rPr>
        <w:tab/>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本町の高齢者の就労状況は以下のとおりです。男女とも</w:t>
      </w:r>
      <w:r>
        <w:rPr>
          <w:rFonts w:hint="eastAsia" w:ascii="メイリオ" w:hAnsi="メイリオ" w:eastAsia="メイリオ"/>
          <w:color w:val="000000" w:themeColor="text1"/>
          <w:sz w:val="24"/>
        </w:rPr>
        <w:t>60</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64</w:t>
      </w:r>
      <w:r>
        <w:rPr>
          <w:rFonts w:hint="eastAsia" w:ascii="メイリオ" w:hAnsi="メイリオ" w:eastAsia="メイリオ"/>
          <w:color w:val="000000" w:themeColor="text1"/>
          <w:sz w:val="24"/>
        </w:rPr>
        <w:t>歳では全国平均、北海道平均を上回る水準の就業率です。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男性は</w:t>
      </w:r>
      <w:r>
        <w:rPr>
          <w:rFonts w:hint="eastAsia" w:ascii="メイリオ" w:hAnsi="メイリオ" w:eastAsia="メイリオ"/>
          <w:color w:val="000000" w:themeColor="text1"/>
          <w:sz w:val="24"/>
        </w:rPr>
        <w:t>75</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79</w:t>
      </w:r>
      <w:r>
        <w:rPr>
          <w:rFonts w:hint="eastAsia" w:ascii="メイリオ" w:hAnsi="メイリオ" w:eastAsia="メイリオ"/>
          <w:color w:val="000000" w:themeColor="text1"/>
          <w:sz w:val="24"/>
        </w:rPr>
        <w:t>歳で全国、北海道の就業率を下回りますが、その上の年代（</w:t>
      </w:r>
      <w:r>
        <w:rPr>
          <w:rFonts w:hint="eastAsia" w:ascii="メイリオ" w:hAnsi="メイリオ" w:eastAsia="メイリオ"/>
          <w:color w:val="000000" w:themeColor="text1"/>
          <w:sz w:val="24"/>
        </w:rPr>
        <w:t>80</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84</w:t>
      </w:r>
      <w:r>
        <w:rPr>
          <w:rFonts w:hint="eastAsia" w:ascii="メイリオ" w:hAnsi="メイリオ" w:eastAsia="メイリオ"/>
          <w:color w:val="000000" w:themeColor="text1"/>
          <w:sz w:val="24"/>
        </w:rPr>
        <w:t>歳）では全国、北海道の就業率を上回っています。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女性は</w:t>
      </w:r>
      <w:r>
        <w:rPr>
          <w:rFonts w:hint="eastAsia" w:ascii="メイリオ" w:hAnsi="メイリオ" w:eastAsia="メイリオ"/>
          <w:color w:val="000000" w:themeColor="text1"/>
          <w:sz w:val="24"/>
        </w:rPr>
        <w:t>80</w:t>
      </w:r>
      <w:r>
        <w:rPr>
          <w:rFonts w:hint="eastAsia" w:ascii="メイリオ" w:hAnsi="メイリオ" w:eastAsia="メイリオ"/>
          <w:color w:val="000000" w:themeColor="text1"/>
          <w:sz w:val="24"/>
        </w:rPr>
        <w:t>歳～</w:t>
      </w:r>
      <w:r>
        <w:rPr>
          <w:rFonts w:hint="eastAsia" w:ascii="メイリオ" w:hAnsi="メイリオ" w:eastAsia="メイリオ"/>
          <w:color w:val="000000" w:themeColor="text1"/>
          <w:sz w:val="24"/>
        </w:rPr>
        <w:t>84</w:t>
      </w:r>
      <w:r>
        <w:rPr>
          <w:rFonts w:hint="eastAsia" w:ascii="メイリオ" w:hAnsi="メイリオ" w:eastAsia="メイリオ"/>
          <w:color w:val="000000" w:themeColor="text1"/>
          <w:sz w:val="24"/>
        </w:rPr>
        <w:t>歳で全国、北海道の就業率を下回っています。</w:t>
      </w: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style="mso-position-vertical-relative:text;z-index:32;width:413.3pt;height:245.5pt;mso-position-horizontal-relative:text;position:absolute;margin-left:9pt;margin-top:5.7pt;" filled="f" o:spt="75" type="#_x0000_t75">
            <v:fill/>
            <v:stroke joinstyle="miter"/>
            <v:imagedata o:title="" r:id="rId17"/>
            <o:lock v:ext="edit" aspectratio="t"/>
            <w10:wrap type="none" anchorx="text" anchory="text"/>
          </v:shape>
          <o:OLEObject Type="Embed" ProgID="AcroExch.Document.DC" ShapeID="_x0000_s1053" DrawAspect="Content" ObjectID="" r:id="rId18"/>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style="mso-position-vertical-relative:text;z-index:33;width:414pt;height:238.3pt;mso-position-horizontal-relative:text;position:absolute;margin-left:8.5500000000000007pt;margin-top:20pt;" filled="f" o:spt="75" type="#_x0000_t75">
            <v:fill/>
            <v:stroke joinstyle="miter"/>
            <v:imagedata o:title="" r:id="rId19"/>
            <o:lock v:ext="edit" aspectratio="t"/>
            <w10:wrap type="none" anchorx="text" anchory="text"/>
          </v:shape>
          <o:OLEObject Type="Embed" ProgID="AcroExch.Document.DC" ShapeID="_x0000_s1054" DrawAspect="Content" ObjectID="" r:id="rId20"/>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国勢調査</w:t>
      </w:r>
    </w:p>
    <w:p>
      <w:pPr>
        <w:pStyle w:val="40"/>
        <w:rPr>
          <w:rFonts w:hint="default"/>
          <w:color w:val="000000" w:themeColor="text1"/>
        </w:rPr>
      </w:pPr>
      <w:r>
        <w:rPr>
          <w:rFonts w:hint="eastAsia"/>
          <w:color w:val="000000" w:themeColor="text1"/>
        </w:rPr>
        <w:t>６　平均寿命と健康寿命</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医療技術の向上や衛生環境の改善により、日本人の平均寿命は年々過去最高を更新し、世界的にも長寿の国の１つとなっています。令和</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年に公表された生命表（厚生労働省）によると我が国</w:t>
      </w:r>
      <w:r>
        <w:rPr>
          <w:rFonts w:hint="default" w:ascii="メイリオ" w:hAnsi="メイリオ" w:eastAsia="メイリオ"/>
          <w:color w:val="000000" w:themeColor="text1"/>
          <w:sz w:val="24"/>
        </w:rPr>
        <w:t>の平均</w:t>
      </w:r>
      <w:r>
        <w:rPr>
          <w:rFonts w:hint="eastAsia" w:ascii="メイリオ" w:hAnsi="メイリオ" w:eastAsia="メイリオ"/>
          <w:color w:val="000000" w:themeColor="text1"/>
          <w:sz w:val="24"/>
        </w:rPr>
        <w:t>寿命は男性</w:t>
      </w:r>
      <w:r>
        <w:rPr>
          <w:rFonts w:hint="eastAsia" w:ascii="メイリオ" w:hAnsi="メイリオ" w:eastAsia="メイリオ"/>
          <w:color w:val="000000" w:themeColor="text1"/>
          <w:sz w:val="24"/>
        </w:rPr>
        <w:t>81.4</w:t>
      </w:r>
      <w:r>
        <w:rPr>
          <w:rFonts w:hint="eastAsia" w:ascii="メイリオ" w:hAnsi="メイリオ" w:eastAsia="メイリオ"/>
          <w:color w:val="000000" w:themeColor="text1"/>
          <w:sz w:val="24"/>
        </w:rPr>
        <w:t>歳、女性</w:t>
      </w:r>
      <w:r>
        <w:rPr>
          <w:rFonts w:hint="eastAsia" w:ascii="メイリオ" w:hAnsi="メイリオ" w:eastAsia="メイリオ"/>
          <w:color w:val="000000" w:themeColor="text1"/>
          <w:sz w:val="24"/>
        </w:rPr>
        <w:t>87.5</w:t>
      </w:r>
      <w:r>
        <w:rPr>
          <w:rFonts w:hint="eastAsia" w:ascii="メイリオ" w:hAnsi="メイリオ" w:eastAsia="メイリオ"/>
          <w:color w:val="000000" w:themeColor="text1"/>
          <w:sz w:val="24"/>
        </w:rPr>
        <w:t>歳となっています。また、同統計によると本町の平均寿命は男性</w:t>
      </w:r>
      <w:r>
        <w:rPr>
          <w:rFonts w:hint="eastAsia" w:ascii="メイリオ" w:hAnsi="メイリオ" w:eastAsia="メイリオ"/>
          <w:color w:val="000000" w:themeColor="text1"/>
          <w:sz w:val="24"/>
        </w:rPr>
        <w:t>80.8</w:t>
      </w:r>
      <w:r>
        <w:rPr>
          <w:rFonts w:hint="eastAsia" w:ascii="メイリオ" w:hAnsi="メイリオ" w:eastAsia="メイリオ"/>
          <w:color w:val="000000" w:themeColor="text1"/>
          <w:sz w:val="24"/>
        </w:rPr>
        <w:t>歳、女性</w:t>
      </w:r>
      <w:r>
        <w:rPr>
          <w:rFonts w:hint="eastAsia" w:ascii="メイリオ" w:hAnsi="メイリオ" w:eastAsia="メイリオ"/>
          <w:color w:val="000000" w:themeColor="text1"/>
          <w:sz w:val="24"/>
        </w:rPr>
        <w:t>87.1</w:t>
      </w:r>
      <w:r>
        <w:rPr>
          <w:rFonts w:hint="eastAsia" w:ascii="メイリオ" w:hAnsi="メイリオ" w:eastAsia="メイリオ"/>
          <w:color w:val="000000" w:themeColor="text1"/>
          <w:sz w:val="24"/>
        </w:rPr>
        <w:t>歳となっています。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健康寿命とは、健康状態で生活することが期待される平均期間を表す指標です。わが国では健康上の問題で日常生活に影響がある状態を「不健康」とし、老齢によって日常生活に影響が出るまでの期間を健康寿命と考え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年に公表された健康寿命の平均は男性</w:t>
      </w:r>
      <w:r>
        <w:rPr>
          <w:rFonts w:hint="eastAsia" w:ascii="メイリオ" w:hAnsi="メイリオ" w:eastAsia="メイリオ"/>
          <w:color w:val="000000" w:themeColor="text1"/>
          <w:sz w:val="24"/>
        </w:rPr>
        <w:t>72.7</w:t>
      </w:r>
      <w:r>
        <w:rPr>
          <w:rFonts w:hint="eastAsia" w:ascii="メイリオ" w:hAnsi="メイリオ" w:eastAsia="メイリオ"/>
          <w:color w:val="000000" w:themeColor="text1"/>
          <w:sz w:val="24"/>
        </w:rPr>
        <w:t>歳、女性</w:t>
      </w:r>
      <w:r>
        <w:rPr>
          <w:rFonts w:hint="eastAsia" w:ascii="メイリオ" w:hAnsi="メイリオ" w:eastAsia="メイリオ"/>
          <w:color w:val="000000" w:themeColor="text1"/>
          <w:sz w:val="24"/>
        </w:rPr>
        <w:t>75.4</w:t>
      </w:r>
      <w:r>
        <w:rPr>
          <w:rFonts w:hint="eastAsia" w:ascii="メイリオ" w:hAnsi="メイリオ" w:eastAsia="メイリオ"/>
          <w:color w:val="000000" w:themeColor="text1"/>
          <w:sz w:val="24"/>
        </w:rPr>
        <w:t>歳となっています。平均寿命と健康寿命の差が介護を必要とする期間（平均寿命と健康寿命の差）であり、男性で約９年、女性では約</w:t>
      </w:r>
      <w:r>
        <w:rPr>
          <w:rFonts w:hint="default" w:ascii="メイリオ" w:hAnsi="メイリオ" w:eastAsia="メイリオ"/>
          <w:color w:val="000000" w:themeColor="text1"/>
          <w:sz w:val="24"/>
        </w:rPr>
        <w:t xml:space="preserve">12 </w:t>
      </w:r>
      <w:r>
        <w:rPr>
          <w:rFonts w:hint="default" w:ascii="メイリオ" w:hAnsi="メイリオ" w:eastAsia="メイリオ"/>
          <w:color w:val="000000" w:themeColor="text1"/>
          <w:sz w:val="24"/>
        </w:rPr>
        <w:t>年となっています。</w:t>
      </w:r>
    </w:p>
    <w:p>
      <w:pPr>
        <w:pStyle w:val="0"/>
        <w:widowControl w:val="1"/>
        <w:ind w:firstLine="210" w:firstLineChars="100"/>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48" behindDoc="0" locked="0" layoutInCell="1" hidden="0" allowOverlap="1">
            <wp:simplePos x="0" y="0"/>
            <wp:positionH relativeFrom="margin">
              <wp:align>center</wp:align>
            </wp:positionH>
            <wp:positionV relativeFrom="paragraph">
              <wp:posOffset>168910</wp:posOffset>
            </wp:positionV>
            <wp:extent cx="5374640" cy="3903980"/>
            <wp:effectExtent l="0" t="0" r="0" b="0"/>
            <wp:wrapNone/>
            <wp:docPr id="1055" name="Picture 29"/>
            <a:graphic xmlns:a="http://schemas.openxmlformats.org/drawingml/2006/main">
              <a:graphicData uri="http://schemas.openxmlformats.org/drawingml/2006/picture">
                <pic:pic xmlns:pic="http://schemas.openxmlformats.org/drawingml/2006/picture">
                  <pic:nvPicPr>
                    <pic:cNvPr id="1055" name="Picture 29"/>
                    <pic:cNvPicPr>
                      <a:picLocks noChangeAspect="1" noChangeArrowheads="1"/>
                    </pic:cNvPicPr>
                  </pic:nvPicPr>
                  <pic:blipFill>
                    <a:blip r:embed="rId21"/>
                    <a:stretch>
                      <a:fillRect/>
                    </a:stretch>
                  </pic:blipFill>
                  <pic:spPr>
                    <a:xfrm>
                      <a:off x="0" y="0"/>
                      <a:ext cx="5374640" cy="3903980"/>
                    </a:xfrm>
                    <a:prstGeom prst="rect">
                      <a:avLst/>
                    </a:prstGeom>
                    <a:noFill/>
                    <a:ln>
                      <a:noFill/>
                    </a:ln>
                  </pic:spPr>
                </pic:pic>
              </a:graphicData>
            </a:graphic>
          </wp:anchor>
        </w:drawing>
      </w: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厚生労働省　生命表　</w:t>
      </w:r>
    </w:p>
    <w:p>
      <w:pPr>
        <w:pStyle w:val="38"/>
        <w:rPr>
          <w:rFonts w:hint="default"/>
          <w:color w:val="000000" w:themeColor="text1"/>
        </w:rPr>
      </w:pPr>
      <w:bookmarkStart w:id="17" w:name="_Toc154129925"/>
      <w:r>
        <w:rPr>
          <w:rFonts w:hint="eastAsia"/>
          <w:color w:val="000000" w:themeColor="text1"/>
        </w:rPr>
        <w:t>第２節　介護保険給付等の状況</w:t>
      </w:r>
      <w:bookmarkEnd w:id="17"/>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要支援・要介護認定者数と認定率の推移</w:t>
      </w:r>
      <w:r>
        <w:rPr>
          <w:rFonts w:hint="default"/>
          <w:color w:val="000000" w:themeColor="text1"/>
        </w:rPr>
        <w:tab/>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本町の要介護度別認定者数の推移は以下のとおりです。令和元年以降概ね合計で</w:t>
      </w:r>
      <w:r>
        <w:rPr>
          <w:rFonts w:hint="eastAsia" w:ascii="メイリオ" w:hAnsi="メイリオ" w:eastAsia="メイリオ"/>
          <w:color w:val="000000" w:themeColor="text1"/>
          <w:sz w:val="24"/>
        </w:rPr>
        <w:t>160</w:t>
      </w:r>
      <w:r>
        <w:rPr>
          <w:rFonts w:hint="eastAsia" w:ascii="メイリオ" w:hAnsi="メイリオ" w:eastAsia="メイリオ"/>
          <w:color w:val="000000" w:themeColor="text1"/>
          <w:sz w:val="24"/>
        </w:rPr>
        <w:t>人を下回る水準で推移しています。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要介護度別に見ると、要介護１が令和元年から徐々に減少しています。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w:t>
      </w: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style="mso-position-vertical-relative:text;z-index:34;width:427.35pt;height:367.1pt;mso-position-horizontal-relative:text;position:absolute;margin-left:0.25pt;margin-top:1.25pt;" filled="f" o:spt="75" type="#_x0000_t75">
            <v:fill/>
            <v:stroke joinstyle="miter"/>
            <v:imagedata o:title="" r:id="rId22"/>
            <o:lock v:ext="edit" aspectratio="t"/>
            <w10:wrap type="none" anchorx="text" anchory="text"/>
          </v:shape>
          <o:OLEObject Type="Embed" ProgID="AcroExch.Document.DC" ShapeID="_x0000_s1056" DrawAspect="Content" ObjectID="" r:id="rId23"/>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次に要介護度別認定率については、認定率は平成</w:t>
      </w:r>
      <w:r>
        <w:rPr>
          <w:rFonts w:hint="eastAsia" w:ascii="メイリオ" w:hAnsi="メイリオ" w:eastAsia="メイリオ"/>
          <w:color w:val="000000" w:themeColor="text1"/>
          <w:sz w:val="24"/>
        </w:rPr>
        <w:t>27</w:t>
      </w:r>
      <w:r>
        <w:rPr>
          <w:rFonts w:hint="eastAsia" w:ascii="メイリオ" w:hAnsi="メイリオ" w:eastAsia="メイリオ"/>
          <w:color w:val="000000" w:themeColor="text1"/>
          <w:sz w:val="24"/>
        </w:rPr>
        <w:t>年から合計</w:t>
      </w:r>
      <w:r>
        <w:rPr>
          <w:rFonts w:hint="eastAsia" w:ascii="メイリオ" w:hAnsi="メイリオ" w:eastAsia="メイリオ"/>
          <w:color w:val="000000" w:themeColor="text1"/>
          <w:sz w:val="24"/>
        </w:rPr>
        <w:t>18</w:t>
      </w:r>
      <w:r>
        <w:rPr>
          <w:rFonts w:hint="eastAsia" w:ascii="メイリオ" w:hAnsi="メイリオ" w:eastAsia="メイリオ"/>
          <w:color w:val="000000" w:themeColor="text1"/>
          <w:sz w:val="24"/>
        </w:rPr>
        <w:t>％程度と概ね横ばいの傾向を示しています。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要介護度別では要介護１の認定率が令和元年以降低下しています。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49" behindDoc="0" locked="0" layoutInCell="1" hidden="0" allowOverlap="1">
            <wp:simplePos x="0" y="0"/>
            <wp:positionH relativeFrom="margin">
              <wp:posOffset>-635</wp:posOffset>
            </wp:positionH>
            <wp:positionV relativeFrom="paragraph">
              <wp:posOffset>151765</wp:posOffset>
            </wp:positionV>
            <wp:extent cx="5466080" cy="3528695"/>
            <wp:effectExtent l="0" t="0" r="0" b="0"/>
            <wp:wrapNone/>
            <wp:docPr id="1057" name="Picture 30"/>
            <a:graphic xmlns:a="http://schemas.openxmlformats.org/drawingml/2006/main">
              <a:graphicData uri="http://schemas.openxmlformats.org/drawingml/2006/picture">
                <pic:pic xmlns:pic="http://schemas.openxmlformats.org/drawingml/2006/picture">
                  <pic:nvPicPr>
                    <pic:cNvPr id="1057" name="Picture 30"/>
                    <pic:cNvPicPr>
                      <a:picLocks noChangeAspect="1" noChangeArrowheads="1"/>
                    </pic:cNvPicPr>
                  </pic:nvPicPr>
                  <pic:blipFill>
                    <a:blip r:embed="rId24"/>
                    <a:stretch>
                      <a:fillRect/>
                    </a:stretch>
                  </pic:blipFill>
                  <pic:spPr>
                    <a:xfrm>
                      <a:off x="0" y="0"/>
                      <a:ext cx="5466080" cy="3528695"/>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次に近隣自治体と要介護度別認定率を比較します。足寄町、津別町、訓子府町、置戸町の</w:t>
      </w:r>
      <w:r>
        <w:rPr>
          <w:rFonts w:hint="eastAsia" w:ascii="メイリオ" w:hAnsi="メイリオ" w:eastAsia="メイリオ"/>
          <w:color w:val="000000" w:themeColor="text1"/>
          <w:sz w:val="24"/>
        </w:rPr>
        <w:t>4</w:t>
      </w:r>
      <w:r>
        <w:rPr>
          <w:rFonts w:hint="eastAsia" w:ascii="メイリオ" w:hAnsi="メイリオ" w:eastAsia="メイリオ"/>
          <w:color w:val="000000" w:themeColor="text1"/>
          <w:sz w:val="24"/>
        </w:rPr>
        <w:t>町と比較します。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合計の認定率では本町は比較対象の中で中位にあります。要介護度別に見ると、近隣自治体と比べて要介護１の認定率が低いです。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style="mso-position-vertical-relative:text;z-index:35;width:425.55pt;height:368.85pt;mso-position-horizontal-relative:text;position:absolute;margin-left:2pt;margin-top:2.75pt;" filled="f" o:spt="75" type="#_x0000_t75">
            <v:fill/>
            <v:stroke joinstyle="miter"/>
            <v:imagedata o:title="" r:id="rId25"/>
            <o:lock v:ext="edit" aspectratio="t"/>
            <w10:wrap type="none" anchorx="text" anchory="text"/>
          </v:shape>
          <o:OLEObject Type="Embed" ProgID="AcroExch.Document.DC" ShapeID="_x0000_s1058" DrawAspect="Content" ObjectID="" r:id="rId26"/>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次に要介護度別認定者の認定者全体に占める割合を全国、北海道と比較しました。</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本町では要介護４、５においていずれも全国、北海道よりも多い割合です。逆に要支援２や要介護１は全国、北海道よりも低く、要介護度が高い方が多いことが分かります。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drawing>
          <wp:anchor distT="0" distB="0" distL="114300" distR="114300" simplePos="0" relativeHeight="55" behindDoc="0" locked="0" layoutInCell="1" hidden="0" allowOverlap="1">
            <wp:simplePos x="0" y="0"/>
            <wp:positionH relativeFrom="column">
              <wp:posOffset>-2540</wp:posOffset>
            </wp:positionH>
            <wp:positionV relativeFrom="paragraph">
              <wp:posOffset>1905</wp:posOffset>
            </wp:positionV>
            <wp:extent cx="5438140" cy="3188335"/>
            <wp:effectExtent l="0" t="0" r="0" b="0"/>
            <wp:wrapNone/>
            <wp:docPr id="1059" name="Picture 37"/>
            <a:graphic xmlns:a="http://schemas.openxmlformats.org/drawingml/2006/main">
              <a:graphicData uri="http://schemas.openxmlformats.org/drawingml/2006/picture">
                <pic:pic xmlns:pic="http://schemas.openxmlformats.org/drawingml/2006/picture">
                  <pic:nvPicPr>
                    <pic:cNvPr id="1059" name="Picture 37"/>
                    <pic:cNvPicPr>
                      <a:picLocks noChangeAspect="1" noChangeArrowheads="1"/>
                    </pic:cNvPicPr>
                  </pic:nvPicPr>
                  <pic:blipFill>
                    <a:blip r:embed="rId27"/>
                    <a:stretch>
                      <a:fillRect/>
                    </a:stretch>
                  </pic:blipFill>
                  <pic:spPr>
                    <a:xfrm>
                      <a:off x="0" y="0"/>
                      <a:ext cx="5438140" cy="3188335"/>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２　介護保険給付</w:t>
      </w:r>
      <w:r>
        <w:rPr>
          <w:rFonts w:hint="default"/>
          <w:color w:val="000000" w:themeColor="text1"/>
        </w:rPr>
        <w:tab/>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サービス系列ごとに被保険者一人当たり給付月額を全国、北海道、近隣自治体と比較すると以下のとおりです。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施設及び居住系サービス給付月額では全国、北海道より高く、近隣自治体の中でも最も高い水準です。在宅系サービス給付月額では、全国、北海道より低く、近隣自治体の中では中位にあります。</w:t>
      </w: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14865" w:dyaOrig="9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style="mso-position-vertical-relative:text;z-index:36;width:413.45pt;height:297.35000000000002pt;mso-position-horizontal-relative:text;position:absolute;margin-left:5.9pt;margin-top:19pt;" filled="f" stroked="t" strokecolor="#d9d9d9" o:spt="75" type="#_x0000_t75">
            <v:fill/>
            <v:stroke joinstyle="miter"/>
            <v:imagedata o:title="" r:id="rId28"/>
            <o:lock v:ext="edit" aspectratio="t"/>
            <w10:wrap type="none" anchorx="text" anchory="text"/>
          </v:shape>
          <o:OLEObject Type="Embed" ProgID="AcroExch.Document.DC" ShapeID="_x0000_s1060" DrawAspect="Content" ObjectID="" r:id="rId29"/>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7980"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style="mso-position-vertical-relative:text;z-index:47;width:416.6pt;height:141.9pt;mso-position-horizontal-relative:text;position:absolute;margin-left:6pt;margin-top:17.25pt;" filled="f" o:spt="75" type="#_x0000_t75">
            <v:fill/>
            <v:stroke joinstyle="miter"/>
            <v:imagedata o:title="" r:id="rId30"/>
            <o:lock v:ext="edit" aspectratio="t"/>
            <w10:wrap type="none" anchorx="text" anchory="text"/>
          </v:shape>
          <o:OLEObject Type="Embed" ProgID="AcroExch.Document.DC" ShapeID="_x0000_s1061" DrawAspect="Content" ObjectID="" r:id="rId31"/>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次に施設系、居住系、在宅サービスごとの人数を平成</w:t>
      </w:r>
      <w:r>
        <w:rPr>
          <w:rFonts w:hint="eastAsia" w:ascii="メイリオ" w:hAnsi="メイリオ" w:eastAsia="メイリオ"/>
          <w:color w:val="000000" w:themeColor="text1"/>
          <w:sz w:val="24"/>
        </w:rPr>
        <w:t>26</w:t>
      </w:r>
      <w:r>
        <w:rPr>
          <w:rFonts w:hint="eastAsia" w:ascii="メイリオ" w:hAnsi="メイリオ" w:eastAsia="メイリオ"/>
          <w:color w:val="000000" w:themeColor="text1"/>
          <w:sz w:val="24"/>
        </w:rPr>
        <w:t>年から月平均で推移を見ます。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在宅サービスの受給者が徐々に増加する一方、施設系サービスの受給者が減少傾向にあることが分かります。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53" behindDoc="0" locked="0" layoutInCell="1" hidden="0" allowOverlap="1">
            <wp:simplePos x="0" y="0"/>
            <wp:positionH relativeFrom="margin">
              <wp:posOffset>-20320</wp:posOffset>
            </wp:positionH>
            <wp:positionV relativeFrom="paragraph">
              <wp:posOffset>206375</wp:posOffset>
            </wp:positionV>
            <wp:extent cx="5443855" cy="2978150"/>
            <wp:effectExtent l="0" t="0" r="0" b="0"/>
            <wp:wrapNone/>
            <wp:docPr id="1062" name="Picture 34"/>
            <a:graphic xmlns:a="http://schemas.openxmlformats.org/drawingml/2006/main">
              <a:graphicData uri="http://schemas.openxmlformats.org/drawingml/2006/picture">
                <pic:pic xmlns:pic="http://schemas.openxmlformats.org/drawingml/2006/picture">
                  <pic:nvPicPr>
                    <pic:cNvPr id="1062" name="Picture 34"/>
                    <pic:cNvPicPr>
                      <a:picLocks noChangeAspect="1" noChangeArrowheads="1"/>
                    </pic:cNvPicPr>
                  </pic:nvPicPr>
                  <pic:blipFill>
                    <a:blip r:embed="rId32"/>
                    <a:stretch>
                      <a:fillRect/>
                    </a:stretch>
                  </pic:blipFill>
                  <pic:spPr>
                    <a:xfrm>
                      <a:off x="0" y="0"/>
                      <a:ext cx="5443855" cy="2978150"/>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また、それぞれのサービスごとに全体に対する割合を全国、北海道と比較しました。</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本町では施設系サービスと居住系サービスの受給者の割合が全国、北海道と比較して高いことが分かります。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54" behindDoc="0" locked="0" layoutInCell="1" hidden="0" allowOverlap="1">
            <wp:simplePos x="0" y="0"/>
            <wp:positionH relativeFrom="column">
              <wp:posOffset>34925</wp:posOffset>
            </wp:positionH>
            <wp:positionV relativeFrom="paragraph">
              <wp:posOffset>269240</wp:posOffset>
            </wp:positionV>
            <wp:extent cx="5365750" cy="3184525"/>
            <wp:effectExtent l="0" t="0" r="0" b="0"/>
            <wp:wrapNone/>
            <wp:docPr id="1063" name="Picture 36"/>
            <a:graphic xmlns:a="http://schemas.openxmlformats.org/drawingml/2006/main">
              <a:graphicData uri="http://schemas.openxmlformats.org/drawingml/2006/picture">
                <pic:pic xmlns:pic="http://schemas.openxmlformats.org/drawingml/2006/picture">
                  <pic:nvPicPr>
                    <pic:cNvPr id="1063" name="Picture 36"/>
                    <pic:cNvPicPr>
                      <a:picLocks noChangeAspect="1" noChangeArrowheads="1"/>
                    </pic:cNvPicPr>
                  </pic:nvPicPr>
                  <pic:blipFill>
                    <a:blip r:embed="rId33"/>
                    <a:stretch>
                      <a:fillRect/>
                    </a:stretch>
                  </pic:blipFill>
                  <pic:spPr>
                    <a:xfrm>
                      <a:off x="0" y="0"/>
                      <a:ext cx="5365750" cy="3184525"/>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出典　地域包括ケア見える化システム</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18" w:name="_Toc154129926"/>
      <w:r>
        <w:rPr>
          <w:rFonts w:hint="eastAsia"/>
          <w:color w:val="000000" w:themeColor="text1"/>
        </w:rPr>
        <w:t>第</w:t>
      </w:r>
      <w:r>
        <w:rPr>
          <w:rFonts w:hint="eastAsia"/>
          <w:color w:val="000000" w:themeColor="text1"/>
        </w:rPr>
        <w:t>3</w:t>
      </w:r>
      <w:r>
        <w:rPr>
          <w:rFonts w:hint="eastAsia"/>
          <w:color w:val="000000" w:themeColor="text1"/>
        </w:rPr>
        <w:t>節　第８期計画期間における取り組みの評価と今後の課題</w:t>
      </w:r>
      <w:bookmarkEnd w:id="18"/>
    </w:p>
    <w:p>
      <w:pPr>
        <w:pStyle w:val="0"/>
        <w:widowControl w:val="1"/>
        <w:jc w:val="left"/>
        <w:rPr>
          <w:rFonts w:hint="default"/>
          <w:color w:val="000000" w:themeColor="text1"/>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第８期計画では、以下に掲げる４つの基本目標に沿い、各事業を推進してきました。</w: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203200" distR="203200" simplePos="0" relativeHeight="56" behindDoc="0" locked="0" layoutInCell="1" hidden="0" allowOverlap="1">
                <wp:simplePos x="0" y="0"/>
                <wp:positionH relativeFrom="column">
                  <wp:posOffset>-46355</wp:posOffset>
                </wp:positionH>
                <wp:positionV relativeFrom="paragraph">
                  <wp:posOffset>200660</wp:posOffset>
                </wp:positionV>
                <wp:extent cx="5408930" cy="1685290"/>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wps:spPr>
                        <a:xfrm>
                          <a:off x="0" y="0"/>
                          <a:ext cx="5408930" cy="168529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6;mso-wrap-distance-left:16pt;width:425.9pt;height:132.69pt;mso-position-horizontal-relative:text;position:absolute;margin-left:-3.65pt;margin-top:15.8pt;mso-wrap-distance-bottom:0pt;mso-wrap-distance-right:16pt;mso-wrap-distance-top:0pt;" o:spid="_x0000_s1064"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基本目標１：住み慣れた環境で暮らし続けることができる体制の構築</w:t>
      </w:r>
    </w:p>
    <w:p>
      <w:pPr>
        <w:pStyle w:val="0"/>
        <w:widowControl w:val="1"/>
        <w:ind w:left="1626" w:leftChars="100" w:right="210" w:rightChars="100" w:hanging="1416" w:hangingChars="59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基本目標２：日々の生活に楽しみが持て、つながりや支え合いを大切にできる地域づくり</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基本目標３：介護の重症化予防、介護予防と健康づくり、自立支援の推進</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基本目標４：高齢者の尊厳を大切にした支援や権利擁護の推進</w:t>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第８期計画期間における主な取り組みの評価と課題は以下のとおりです。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（１）各関係機関との連携の強化</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包括支援センターが主催する高齢者サービス調整会議（地域ケア会議）を定例開催していることで、顔が見える多職種連携の基盤が定着してきました。また、この会議から見えた地域課題としてみえた｢町内にある施設（認知症グループホーム、特養しらかば苑）に入居できるまでの期間を埋める住まいがないため転出せざるを得ない高齢者がいること｣を解決するために、令和５年</w:t>
      </w:r>
      <w:r>
        <w:rPr>
          <w:rFonts w:hint="default" w:ascii="メイリオ" w:hAnsi="メイリオ" w:eastAsia="メイリオ"/>
          <w:color w:val="000000" w:themeColor="text1"/>
          <w:sz w:val="24"/>
        </w:rPr>
        <w:t>10</w:t>
      </w:r>
      <w:r>
        <w:rPr>
          <w:rFonts w:hint="default" w:ascii="メイリオ" w:hAnsi="メイリオ" w:eastAsia="メイリオ"/>
          <w:color w:val="000000" w:themeColor="text1"/>
          <w:sz w:val="24"/>
        </w:rPr>
        <w:t>月に町の事業として｢陸別町一時住まい事業かっこうの家｣を開始することができました。</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（２）医療・介護連携の推進</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町民一人ひとりのニーズに応えるために、地域で生じている課題を関係者で共有することに努めてきました。しかし、令和２年に発生した新型コロナウイルス感染症の影響により、対面での密な連携が取りずらくなり、特に看取り介護の推進においては十分な達成とはいえない状況にあります。</w:t>
      </w:r>
    </w:p>
    <w:p>
      <w:pPr>
        <w:pStyle w:val="0"/>
        <w:widowControl w:val="1"/>
        <w:ind w:left="240" w:hanging="240" w:hangingChars="10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（３）人材確保対策</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令和</w:t>
      </w:r>
      <w:r>
        <w:rPr>
          <w:rFonts w:hint="default" w:ascii="メイリオ" w:hAnsi="メイリオ" w:eastAsia="メイリオ"/>
          <w:color w:val="000000" w:themeColor="text1"/>
          <w:sz w:val="24"/>
        </w:rPr>
        <w:t>3</w:t>
      </w:r>
      <w:r>
        <w:rPr>
          <w:rFonts w:hint="default" w:ascii="メイリオ" w:hAnsi="メイリオ" w:eastAsia="メイリオ"/>
          <w:color w:val="000000" w:themeColor="text1"/>
          <w:sz w:val="24"/>
        </w:rPr>
        <w:t>年度から新規事業として、町</w:t>
      </w:r>
      <w:r>
        <w:rPr>
          <w:rFonts w:hint="eastAsia" w:ascii="メイリオ" w:hAnsi="メイリオ" w:eastAsia="メイリオ"/>
          <w:color w:val="000000" w:themeColor="text1"/>
          <w:sz w:val="24"/>
        </w:rPr>
        <w:t>内</w:t>
      </w:r>
      <w:r>
        <w:rPr>
          <w:rFonts w:hint="default" w:ascii="メイリオ" w:hAnsi="メイリオ" w:eastAsia="メイリオ"/>
          <w:color w:val="000000" w:themeColor="text1"/>
          <w:sz w:val="24"/>
        </w:rPr>
        <w:t>で介護の基礎資格を習得できる機会｢介護職員初任者研修｣を実施し、</w:t>
      </w:r>
      <w:r>
        <w:rPr>
          <w:rFonts w:hint="default" w:ascii="メイリオ" w:hAnsi="メイリオ" w:eastAsia="メイリオ"/>
          <w:color w:val="000000" w:themeColor="text1"/>
          <w:sz w:val="24"/>
        </w:rPr>
        <w:t>3</w:t>
      </w:r>
      <w:r>
        <w:rPr>
          <w:rFonts w:hint="default" w:ascii="メイリオ" w:hAnsi="メイリオ" w:eastAsia="メイリオ"/>
          <w:color w:val="000000" w:themeColor="text1"/>
          <w:sz w:val="24"/>
        </w:rPr>
        <w:t>年間で１９名の受講修了生が誕生しました。町内の介護事業所に新規就労した</w:t>
      </w:r>
      <w:r>
        <w:rPr>
          <w:rFonts w:hint="eastAsia" w:ascii="メイリオ" w:hAnsi="メイリオ" w:eastAsia="メイリオ"/>
          <w:color w:val="000000" w:themeColor="text1"/>
          <w:sz w:val="24"/>
        </w:rPr>
        <w:t>修了生</w:t>
      </w:r>
      <w:r>
        <w:rPr>
          <w:rFonts w:hint="default" w:ascii="メイリオ" w:hAnsi="メイリオ" w:eastAsia="メイリオ"/>
          <w:color w:val="000000" w:themeColor="text1"/>
          <w:sz w:val="24"/>
        </w:rPr>
        <w:t>はいませんでしたが、地域の中で介護を知る者が増えたことは、広い意味での人材確保につながったと捉えることができ、趣旨目的を再考しながら今後も人材確保対策を検討していく必要があります。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（４）高齢者の日常生活を支える体制の構築</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令和元年度から社会福祉協議会に生活支援コーディネーターを配置し、定例で地域包括支援センターと意見交換を行いながら、高齢者の生活課題を協議してきました。令和５年度には｢地域安心生活協議体｣を実施し、趣旨に賛同してくれた町民と</w:t>
      </w:r>
      <w:r>
        <w:rPr>
          <w:rFonts w:hint="default" w:ascii="メイリオ" w:hAnsi="メイリオ" w:eastAsia="メイリオ"/>
          <w:color w:val="000000" w:themeColor="text1"/>
          <w:sz w:val="24"/>
        </w:rPr>
        <w:t>2</w:t>
      </w:r>
      <w:r>
        <w:rPr>
          <w:rFonts w:hint="default" w:ascii="メイリオ" w:hAnsi="メイリオ" w:eastAsia="メイリオ"/>
          <w:color w:val="000000" w:themeColor="text1"/>
          <w:sz w:val="24"/>
        </w:rPr>
        <w:t>回のグループワークを通して地域のあるべき姿を話し合いました。</w:t>
      </w:r>
      <w:r>
        <w:rPr>
          <w:rFonts w:hint="eastAsia" w:ascii="メイリオ" w:hAnsi="メイリオ" w:eastAsia="メイリオ"/>
          <w:color w:val="000000" w:themeColor="text1"/>
          <w:sz w:val="24"/>
        </w:rPr>
        <w:t>しかしながら、</w:t>
      </w:r>
      <w:r>
        <w:rPr>
          <w:rFonts w:hint="default" w:ascii="メイリオ" w:hAnsi="メイリオ" w:eastAsia="メイリオ"/>
          <w:color w:val="000000" w:themeColor="text1"/>
          <w:sz w:val="24"/>
        </w:rPr>
        <w:t>コロナ禍により、町民と近い距離でのニーズキャッチが十分にできなかった課題があります。</w:t>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（地域安心生活協議体での意見）</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・高齢者の安否確認のあり方について再検討が必要。</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・一人暮らしで介護が必要になった時にすぐに助けてくれるシステムがほ</w:t>
      </w:r>
    </w:p>
    <w:p>
      <w:pPr>
        <w:pStyle w:val="0"/>
        <w:widowControl w:val="1"/>
        <w:ind w:firstLine="720" w:firstLineChars="3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しい。</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・長く住み続けるための心得として、高齢者自身も予定を管理したり生活</w:t>
      </w:r>
    </w:p>
    <w:p>
      <w:pPr>
        <w:pStyle w:val="0"/>
        <w:widowControl w:val="1"/>
        <w:ind w:firstLine="720" w:firstLineChars="3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にメリハリを持って生活する方がよい。</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・若い人とも交流したり意見交換ができる場が必要。</w:t>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（グループワークから整理された陸別町のあるべき姿）</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・多世代交流がある町　｢横家族社会｣～家を越えた大家族の町</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（５）交流・社会参加の推進</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社会福祉協議会を中心に高齢者が集う交流事業が行われており、高齢者に定着した事業となっています。コロナ禍の影響もありますが、参加者の顔ぶれが変わらない現状もあるため、参加者の継続性を大事にしつつ、新規参加者の掘り起こしを検討していく必要があり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（６）重症化予防と自立支援、介護予防</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令和３年度から後期高齢者健診の受診勧奨を個別通知で行い、その他にも保健指導担当を中心に受診勧奨を実施してきました。また、足寄町国保病院から理学療法士を招聘し、リハビリテーションの視点を取り入れた介護予防や重症化予防の取り組みを進めました。</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（７）認知症施策の構築</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認知症ケアパスの作成や認知症カフェ（ほっとカフェ）の実施など、一部の事業は実施できていますが、認知症の初期段階での関与や支援体制の構築には課題が残されており、今後も検討が必要です。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（８）高齢者の権利擁護事業</w:t>
      </w:r>
    </w:p>
    <w:p>
      <w:pPr>
        <w:pStyle w:val="0"/>
        <w:widowControl w:val="1"/>
        <w:ind w:left="240" w:hanging="240" w:hangingChars="100"/>
        <w:jc w:val="left"/>
        <w:rPr>
          <w:rFonts w:hint="default" w:ascii="メイリオ" w:hAnsi="メイリオ" w:eastAsia="メイリオ"/>
          <w:color w:val="000000" w:themeColor="text1"/>
          <w:sz w:val="28"/>
        </w:rPr>
      </w:pPr>
      <w:r>
        <w:rPr>
          <w:rFonts w:hint="eastAsia" w:ascii="メイリオ" w:hAnsi="メイリオ" w:eastAsia="メイリオ"/>
          <w:color w:val="000000" w:themeColor="text1"/>
          <w:sz w:val="24"/>
        </w:rPr>
        <w:t>　　平成</w:t>
      </w:r>
      <w:r>
        <w:rPr>
          <w:rFonts w:hint="eastAsia" w:ascii="メイリオ" w:hAnsi="メイリオ" w:eastAsia="メイリオ"/>
          <w:color w:val="000000" w:themeColor="text1"/>
          <w:sz w:val="24"/>
        </w:rPr>
        <w:t>28</w:t>
      </w:r>
      <w:r>
        <w:rPr>
          <w:rFonts w:hint="eastAsia" w:ascii="メイリオ" w:hAnsi="メイリオ" w:eastAsia="メイリオ"/>
          <w:color w:val="000000" w:themeColor="text1"/>
          <w:sz w:val="24"/>
        </w:rPr>
        <w:t>年度から陸別町社会福祉協議会に成年後見実施機関を委託しており、令和４年度には市民後見人養成講座が行われました。成年後見制度の活動基盤が整備されてきましたが、成年後見制度自体の運用改善の動きも出ているため、時代に見合った成年後見制度の推進体制が構築できるよう検討が必要です。</w:t>
      </w:r>
      <w:r>
        <w:rPr>
          <w:rFonts w:hint="default"/>
          <w:color w:val="000000" w:themeColor="text1"/>
        </w:rPr>
        <w:br w:type="page"/>
      </w:r>
    </w:p>
    <w:p>
      <w:pPr>
        <w:pStyle w:val="38"/>
        <w:rPr>
          <w:rFonts w:hint="default"/>
          <w:color w:val="000000" w:themeColor="text1"/>
        </w:rPr>
      </w:pPr>
      <w:bookmarkStart w:id="19" w:name="_Toc154129927"/>
      <w:r>
        <w:rPr>
          <w:rFonts w:hint="eastAsia"/>
          <w:color w:val="000000" w:themeColor="text1"/>
        </w:rPr>
        <w:t>第４節　アンケート調査から見た陸別町の現状</w:t>
      </w:r>
      <w:bookmarkEnd w:id="19"/>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調査の概要</w:t>
      </w:r>
      <w:r>
        <w:rPr>
          <w:rFonts w:hint="default"/>
          <w:color w:val="000000" w:themeColor="text1"/>
        </w:rPr>
        <w:tab/>
      </w:r>
    </w:p>
    <w:p>
      <w:pPr>
        <w:pStyle w:val="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（１）介護予防・日常生活圏域ニーズ調査</w:t>
      </w:r>
    </w:p>
    <w:p>
      <w:pPr>
        <w:pStyle w:val="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①調査目的</w:t>
      </w:r>
    </w:p>
    <w:p>
      <w:pPr>
        <w:pStyle w:val="0"/>
        <w:ind w:left="210" w:leftChars="100"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本調査は、本町の日常生活圏域における高齢者の状況を把握し、本計画の策定のための基礎資料とするために実施したものです。</w:t>
      </w:r>
    </w:p>
    <w:p>
      <w:pPr>
        <w:pStyle w:val="0"/>
        <w:rPr>
          <w:rFonts w:hint="default" w:ascii="メイリオ" w:hAnsi="メイリオ" w:eastAsia="メイリオ"/>
          <w:color w:val="000000" w:themeColor="text1"/>
        </w:rPr>
      </w:pPr>
    </w:p>
    <w:p>
      <w:pPr>
        <w:pStyle w:val="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②調査対象及び調査方法</w:t>
      </w:r>
    </w:p>
    <w:tbl>
      <w:tblPr>
        <w:tblStyle w:val="64"/>
        <w:tblW w:w="8295" w:type="dxa"/>
        <w:tblInd w:w="205" w:type="dxa"/>
        <w:tblLayout w:type="fixed"/>
        <w:tblLook w:firstRow="1" w:lastRow="0" w:firstColumn="1" w:lastColumn="0" w:noHBand="0" w:noVBand="1" w:val="04A0"/>
      </w:tblPr>
      <w:tblGrid>
        <w:gridCol w:w="1995"/>
        <w:gridCol w:w="6300"/>
      </w:tblGrid>
      <w:tr>
        <w:trPr>
          <w:trHeight w:val="454" w:hRule="atLeast"/>
        </w:trPr>
        <w:tc>
          <w:tcPr>
            <w:tcW w:w="1995" w:type="dxa"/>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sz w:val="22"/>
              </w:rPr>
              <w:t>項目</w:t>
            </w:r>
          </w:p>
        </w:tc>
        <w:tc>
          <w:tcPr>
            <w:tcW w:w="6300" w:type="dxa"/>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sz w:val="22"/>
              </w:rPr>
              <w:t>内容</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調査対象</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町内在住の</w:t>
            </w:r>
            <w:r>
              <w:rPr>
                <w:rFonts w:hint="default" w:ascii="メイリオ" w:hAnsi="メイリオ" w:eastAsia="メイリオ"/>
                <w:color w:val="000000" w:themeColor="text1"/>
                <w:sz w:val="22"/>
              </w:rPr>
              <w:t>65</w:t>
            </w:r>
            <w:r>
              <w:rPr>
                <w:rFonts w:hint="eastAsia" w:ascii="メイリオ" w:hAnsi="メイリオ" w:eastAsia="メイリオ"/>
                <w:color w:val="000000" w:themeColor="text1"/>
                <w:sz w:val="22"/>
              </w:rPr>
              <w:t>歳以上で、要介護認定（要支援認定及び事業対象者を除く）を受けていない方</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調査方法</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郵送法</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調査時期</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令和５年７月～８月</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調査地域</w:t>
            </w:r>
          </w:p>
        </w:tc>
        <w:tc>
          <w:tcPr>
            <w:tcW w:w="6300" w:type="dxa"/>
            <w:vAlign w:val="center"/>
          </w:tcPr>
          <w:p>
            <w:pPr>
              <w:pStyle w:val="0"/>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陸別町全域</w:t>
            </w:r>
          </w:p>
        </w:tc>
      </w:tr>
    </w:tbl>
    <w:p>
      <w:pPr>
        <w:pStyle w:val="0"/>
        <w:rPr>
          <w:rFonts w:hint="default"/>
          <w:color w:val="000000" w:themeColor="text1"/>
        </w:rPr>
      </w:pPr>
    </w:p>
    <w:p>
      <w:pPr>
        <w:pStyle w:val="3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③配布数及び回収結果</w:t>
      </w:r>
    </w:p>
    <w:tbl>
      <w:tblPr>
        <w:tblStyle w:val="64"/>
        <w:tblW w:w="3675" w:type="dxa"/>
        <w:tblInd w:w="205" w:type="dxa"/>
        <w:tblLayout w:type="fixed"/>
        <w:tblLook w:firstRow="1" w:lastRow="0" w:firstColumn="1" w:lastColumn="0" w:noHBand="0" w:noVBand="1" w:val="04A0"/>
      </w:tblPr>
      <w:tblGrid>
        <w:gridCol w:w="1995"/>
        <w:gridCol w:w="1680"/>
      </w:tblGrid>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配布数</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2"/>
              </w:rPr>
              <w:t>645</w:t>
            </w:r>
          </w:p>
        </w:tc>
      </w:tr>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有効回収数</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2"/>
              </w:rPr>
              <w:t>430</w:t>
            </w:r>
          </w:p>
        </w:tc>
      </w:tr>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有効回収率</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2"/>
              </w:rPr>
              <w:t>6</w:t>
            </w:r>
            <w:r>
              <w:rPr>
                <w:rFonts w:hint="default" w:ascii="メイリオ" w:hAnsi="メイリオ" w:eastAsia="メイリオ"/>
                <w:color w:val="000000" w:themeColor="text1"/>
                <w:sz w:val="22"/>
              </w:rPr>
              <w:t>6.</w:t>
            </w:r>
            <w:r>
              <w:rPr>
                <w:rFonts w:hint="eastAsia" w:ascii="メイリオ" w:hAnsi="メイリオ" w:eastAsia="メイリオ"/>
                <w:color w:val="000000" w:themeColor="text1"/>
                <w:sz w:val="22"/>
              </w:rPr>
              <w:t>7</w:t>
            </w:r>
            <w:r>
              <w:rPr>
                <w:rFonts w:hint="eastAsia" w:ascii="メイリオ" w:hAnsi="メイリオ" w:eastAsia="メイリオ"/>
                <w:color w:val="000000" w:themeColor="text1"/>
                <w:sz w:val="22"/>
              </w:rPr>
              <w:t>％</w:t>
            </w:r>
          </w:p>
        </w:tc>
      </w:tr>
    </w:tbl>
    <w:p>
      <w:pPr>
        <w:pStyle w:val="29"/>
        <w:rPr>
          <w:rFonts w:hint="default" w:ascii="メイリオ" w:hAnsi="メイリオ" w:eastAsia="メイリオ"/>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（２）在宅介護実態調査</w:t>
      </w:r>
    </w:p>
    <w:p>
      <w:pPr>
        <w:pStyle w:val="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①調査目的</w:t>
      </w:r>
    </w:p>
    <w:p>
      <w:pPr>
        <w:pStyle w:val="0"/>
        <w:ind w:left="210" w:leftChars="100"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本調査は、当町在住の要介護認定保有者とその家族を対象に、在宅サービスの在り方の検討を行うため実施したものです。</w:t>
      </w:r>
    </w:p>
    <w:p>
      <w:pPr>
        <w:pStyle w:val="0"/>
        <w:rPr>
          <w:rFonts w:hint="default" w:ascii="メイリオ" w:hAnsi="メイリオ" w:eastAsia="メイリオ"/>
          <w:color w:val="000000" w:themeColor="text1"/>
        </w:rPr>
      </w:pPr>
    </w:p>
    <w:p>
      <w:pPr>
        <w:pStyle w:val="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②調査対象及び調査方法</w:t>
      </w:r>
    </w:p>
    <w:tbl>
      <w:tblPr>
        <w:tblStyle w:val="64"/>
        <w:tblW w:w="8295" w:type="dxa"/>
        <w:tblInd w:w="205" w:type="dxa"/>
        <w:tblLayout w:type="fixed"/>
        <w:tblLook w:firstRow="1" w:lastRow="0" w:firstColumn="1" w:lastColumn="0" w:noHBand="0" w:noVBand="1" w:val="04A0"/>
      </w:tblPr>
      <w:tblGrid>
        <w:gridCol w:w="1995"/>
        <w:gridCol w:w="6300"/>
      </w:tblGrid>
      <w:tr>
        <w:trPr>
          <w:trHeight w:val="454" w:hRule="atLeast"/>
        </w:trPr>
        <w:tc>
          <w:tcPr>
            <w:tcW w:w="1995" w:type="dxa"/>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sz w:val="22"/>
              </w:rPr>
              <w:t>項目</w:t>
            </w:r>
          </w:p>
        </w:tc>
        <w:tc>
          <w:tcPr>
            <w:tcW w:w="6300" w:type="dxa"/>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sz w:val="22"/>
              </w:rPr>
              <w:t>内容</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調査対象</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要介護認定を受けている陸別町民（施設居住者を除く）とその家族</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調査方法</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郵送法</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rPr>
            </w:pPr>
            <w:r>
              <w:rPr>
                <w:rFonts w:hint="eastAsia" w:ascii="メイリオ" w:hAnsi="メイリオ" w:eastAsia="メイリオ"/>
                <w:color w:val="000000" w:themeColor="text1"/>
                <w:sz w:val="22"/>
              </w:rPr>
              <w:t>調査時期</w:t>
            </w:r>
          </w:p>
        </w:tc>
        <w:tc>
          <w:tcPr>
            <w:tcW w:w="6300" w:type="dxa"/>
            <w:vAlign w:val="center"/>
          </w:tcPr>
          <w:p>
            <w:pPr>
              <w:pStyle w:val="0"/>
              <w:rPr>
                <w:rFonts w:hint="default" w:ascii="メイリオ" w:hAnsi="メイリオ" w:eastAsia="メイリオ"/>
                <w:color w:val="000000" w:themeColor="text1"/>
              </w:rPr>
            </w:pPr>
            <w:r>
              <w:rPr>
                <w:rFonts w:hint="eastAsia" w:ascii="メイリオ" w:hAnsi="メイリオ" w:eastAsia="メイリオ"/>
                <w:color w:val="000000" w:themeColor="text1"/>
                <w:sz w:val="22"/>
              </w:rPr>
              <w:t>令和５年７月～８月</w:t>
            </w:r>
          </w:p>
        </w:tc>
      </w:tr>
      <w:tr>
        <w:trPr>
          <w:trHeight w:val="454" w:hRule="atLeast"/>
        </w:trPr>
        <w:tc>
          <w:tcPr>
            <w:tcW w:w="1995" w:type="dxa"/>
            <w:vAlign w:val="center"/>
          </w:tcPr>
          <w:p>
            <w:pPr>
              <w:pStyle w:val="0"/>
              <w:jc w:val="distribute"/>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調査地域</w:t>
            </w:r>
          </w:p>
        </w:tc>
        <w:tc>
          <w:tcPr>
            <w:tcW w:w="6300" w:type="dxa"/>
            <w:vAlign w:val="center"/>
          </w:tcPr>
          <w:p>
            <w:pPr>
              <w:pStyle w:val="0"/>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陸別町全域</w:t>
            </w:r>
          </w:p>
        </w:tc>
      </w:tr>
    </w:tbl>
    <w:p>
      <w:pPr>
        <w:pStyle w:val="0"/>
        <w:rPr>
          <w:rFonts w:hint="default" w:ascii="メイリオ" w:hAnsi="メイリオ" w:eastAsia="メイリオ"/>
          <w:color w:val="000000" w:themeColor="text1"/>
        </w:rPr>
      </w:pPr>
    </w:p>
    <w:p>
      <w:pPr>
        <w:pStyle w:val="30"/>
        <w:ind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③配布数及び回収結果</w:t>
      </w:r>
    </w:p>
    <w:tbl>
      <w:tblPr>
        <w:tblStyle w:val="64"/>
        <w:tblW w:w="3675" w:type="dxa"/>
        <w:tblInd w:w="205" w:type="dxa"/>
        <w:tblLayout w:type="fixed"/>
        <w:tblLook w:firstRow="1" w:lastRow="0" w:firstColumn="1" w:lastColumn="0" w:noHBand="0" w:noVBand="1" w:val="04A0"/>
      </w:tblPr>
      <w:tblGrid>
        <w:gridCol w:w="1995"/>
        <w:gridCol w:w="1680"/>
      </w:tblGrid>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配布数</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27</w:t>
            </w:r>
          </w:p>
        </w:tc>
      </w:tr>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有効回収数</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2"/>
              </w:rPr>
              <w:t>17</w:t>
            </w:r>
          </w:p>
        </w:tc>
      </w:tr>
      <w:tr>
        <w:trPr>
          <w:trHeight w:val="454" w:hRule="atLeast"/>
        </w:trPr>
        <w:tc>
          <w:tcPr>
            <w:tcW w:w="1995" w:type="dxa"/>
            <w:vAlign w:val="center"/>
          </w:tcPr>
          <w:p>
            <w:pPr>
              <w:pStyle w:val="30"/>
              <w:jc w:val="distribute"/>
              <w:rPr>
                <w:rFonts w:hint="default" w:ascii="メイリオ" w:hAnsi="メイリオ" w:eastAsia="メイリオ"/>
                <w:color w:val="000000" w:themeColor="text1"/>
                <w:sz w:val="24"/>
              </w:rPr>
            </w:pPr>
            <w:r>
              <w:rPr>
                <w:rFonts w:hint="eastAsia" w:ascii="メイリオ" w:hAnsi="メイリオ" w:eastAsia="メイリオ"/>
                <w:color w:val="000000" w:themeColor="text1"/>
                <w:kern w:val="0"/>
                <w:sz w:val="22"/>
              </w:rPr>
              <w:t>有効回収率</w:t>
            </w:r>
          </w:p>
        </w:tc>
        <w:tc>
          <w:tcPr>
            <w:tcW w:w="1680" w:type="dxa"/>
            <w:vAlign w:val="center"/>
          </w:tcPr>
          <w:p>
            <w:pPr>
              <w:pStyle w:val="3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2"/>
              </w:rPr>
              <w:t>6</w:t>
            </w:r>
            <w:r>
              <w:rPr>
                <w:rFonts w:hint="default" w:ascii="メイリオ" w:hAnsi="メイリオ" w:eastAsia="メイリオ"/>
                <w:color w:val="000000" w:themeColor="text1"/>
                <w:sz w:val="22"/>
              </w:rPr>
              <w:t>3.0</w:t>
            </w:r>
            <w:r>
              <w:rPr>
                <w:rFonts w:hint="eastAsia" w:ascii="メイリオ" w:hAnsi="メイリオ" w:eastAsia="メイリオ"/>
                <w:color w:val="000000" w:themeColor="text1"/>
                <w:sz w:val="22"/>
              </w:rPr>
              <w:t>％</w:t>
            </w:r>
          </w:p>
        </w:tc>
      </w:tr>
    </w:tbl>
    <w:p>
      <w:pPr>
        <w:pStyle w:val="30"/>
        <w:rPr>
          <w:rFonts w:hint="default" w:ascii="ＭＳ ゴシック" w:hAnsi="ＭＳ ゴシック" w:eastAsia="ＭＳ ゴシック"/>
          <w:color w:val="000000" w:themeColor="text1"/>
          <w:sz w:val="24"/>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3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２　調査結果の概要（介護予防・日常生活圏域ニーズ調査）</w:t>
      </w:r>
      <w:r>
        <w:rPr>
          <w:rFonts w:hint="default"/>
          <w:color w:val="000000" w:themeColor="text1"/>
        </w:rPr>
        <w:tab/>
      </w:r>
    </w:p>
    <w:p>
      <w:pPr>
        <w:pStyle w:val="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（１）家族構成について</w:t>
      </w:r>
    </w:p>
    <w:p>
      <w:pPr>
        <w:pStyle w:val="0"/>
        <w:ind w:left="210" w:leftChars="100" w:firstLine="240" w:firstLineChars="10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家族構成について、「夫婦２人暮らし（配偶者</w:t>
      </w:r>
      <w:r>
        <w:rPr>
          <w:rFonts w:hint="default" w:ascii="メイリオ" w:hAnsi="メイリオ" w:eastAsia="メイリオ"/>
          <w:color w:val="000000" w:themeColor="text1"/>
          <w:sz w:val="24"/>
        </w:rPr>
        <w:t>65</w:t>
      </w:r>
      <w:r>
        <w:rPr>
          <w:rFonts w:hint="default" w:ascii="メイリオ" w:hAnsi="メイリオ" w:eastAsia="メイリオ"/>
          <w:color w:val="000000" w:themeColor="text1"/>
          <w:sz w:val="24"/>
        </w:rPr>
        <w:t>歳以上）」が</w:t>
      </w:r>
      <w:r>
        <w:rPr>
          <w:rFonts w:hint="eastAsia" w:ascii="メイリオ" w:hAnsi="メイリオ" w:eastAsia="メイリオ"/>
          <w:color w:val="000000" w:themeColor="text1"/>
          <w:sz w:val="24"/>
        </w:rPr>
        <w:t>46.3</w:t>
      </w:r>
      <w:r>
        <w:rPr>
          <w:rFonts w:hint="default" w:ascii="メイリオ" w:hAnsi="メイリオ" w:eastAsia="メイリオ"/>
          <w:color w:val="000000" w:themeColor="text1"/>
          <w:sz w:val="24"/>
        </w:rPr>
        <w:t>％で最も多く、次いで「一人暮らし」が</w:t>
      </w:r>
      <w:r>
        <w:rPr>
          <w:rFonts w:hint="default" w:ascii="メイリオ" w:hAnsi="メイリオ" w:eastAsia="メイリオ"/>
          <w:color w:val="000000" w:themeColor="text1"/>
          <w:sz w:val="24"/>
        </w:rPr>
        <w:t>2</w:t>
      </w:r>
      <w:r>
        <w:rPr>
          <w:rFonts w:hint="eastAsia" w:ascii="メイリオ" w:hAnsi="メイリオ" w:eastAsia="メイリオ"/>
          <w:color w:val="000000" w:themeColor="text1"/>
          <w:sz w:val="24"/>
        </w:rPr>
        <w:t>4.0</w:t>
      </w:r>
      <w:r>
        <w:rPr>
          <w:rFonts w:hint="default" w:ascii="メイリオ" w:hAnsi="メイリオ" w:eastAsia="メイリオ"/>
          <w:color w:val="000000" w:themeColor="text1"/>
          <w:sz w:val="24"/>
        </w:rPr>
        <w:t>％、「</w:t>
      </w:r>
      <w:r>
        <w:rPr>
          <w:rFonts w:hint="eastAsia" w:ascii="メイリオ" w:hAnsi="メイリオ" w:eastAsia="メイリオ"/>
          <w:color w:val="000000" w:themeColor="text1"/>
          <w:sz w:val="24"/>
        </w:rPr>
        <w:t>息子・娘との</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世帯</w:t>
      </w:r>
      <w:r>
        <w:rPr>
          <w:rFonts w:hint="default" w:ascii="メイリオ" w:hAnsi="メイリオ" w:eastAsia="メイリオ"/>
          <w:color w:val="000000" w:themeColor="text1"/>
          <w:sz w:val="24"/>
        </w:rPr>
        <w:t>」が</w:t>
      </w:r>
      <w:r>
        <w:rPr>
          <w:rFonts w:hint="default" w:ascii="メイリオ" w:hAnsi="メイリオ" w:eastAsia="メイリオ"/>
          <w:color w:val="000000" w:themeColor="text1"/>
          <w:sz w:val="24"/>
        </w:rPr>
        <w:t>14.</w:t>
      </w:r>
      <w:r>
        <w:rPr>
          <w:rFonts w:hint="eastAsia" w:ascii="メイリオ" w:hAnsi="メイリオ" w:eastAsia="メイリオ"/>
          <w:color w:val="000000" w:themeColor="text1"/>
          <w:sz w:val="24"/>
        </w:rPr>
        <w:t>9</w:t>
      </w:r>
      <w:r>
        <w:rPr>
          <w:rFonts w:hint="default" w:ascii="メイリオ" w:hAnsi="メイリオ" w:eastAsia="メイリオ"/>
          <w:color w:val="000000" w:themeColor="text1"/>
          <w:sz w:val="24"/>
        </w:rPr>
        <w:t>％となっています。</w:t>
      </w:r>
    </w:p>
    <w:p>
      <w:pPr>
        <w:pStyle w:val="0"/>
        <w:ind w:left="210" w:leftChars="100" w:firstLine="240" w:firstLineChars="10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「一人暮らし」は</w:t>
      </w:r>
      <w:r>
        <w:rPr>
          <w:rFonts w:hint="eastAsia" w:ascii="メイリオ" w:hAnsi="メイリオ" w:eastAsia="メイリオ"/>
          <w:color w:val="000000" w:themeColor="text1"/>
          <w:sz w:val="24"/>
        </w:rPr>
        <w:t>85</w:t>
      </w:r>
      <w:r>
        <w:rPr>
          <w:rFonts w:hint="eastAsia" w:ascii="メイリオ" w:hAnsi="メイリオ" w:eastAsia="メイリオ"/>
          <w:color w:val="000000" w:themeColor="text1"/>
          <w:sz w:val="24"/>
        </w:rPr>
        <w:t>歳以上の区分と</w:t>
      </w:r>
      <w:r>
        <w:rPr>
          <w:rFonts w:hint="default" w:ascii="メイリオ" w:hAnsi="メイリオ" w:eastAsia="メイリオ"/>
          <w:color w:val="000000" w:themeColor="text1"/>
          <w:sz w:val="24"/>
        </w:rPr>
        <w:t>女性が</w:t>
      </w:r>
      <w:r>
        <w:rPr>
          <w:rFonts w:hint="eastAsia" w:ascii="メイリオ" w:hAnsi="メイリオ" w:eastAsia="メイリオ"/>
          <w:color w:val="000000" w:themeColor="text1"/>
          <w:sz w:val="24"/>
        </w:rPr>
        <w:t>30</w:t>
      </w:r>
      <w:r>
        <w:rPr>
          <w:rFonts w:hint="default" w:ascii="メイリオ" w:hAnsi="メイリオ" w:eastAsia="メイリオ"/>
          <w:color w:val="000000" w:themeColor="text1"/>
          <w:sz w:val="24"/>
        </w:rPr>
        <w:t>％</w:t>
      </w:r>
      <w:r>
        <w:rPr>
          <w:rFonts w:hint="eastAsia" w:ascii="メイリオ" w:hAnsi="メイリオ" w:eastAsia="メイリオ"/>
          <w:color w:val="000000" w:themeColor="text1"/>
          <w:sz w:val="24"/>
        </w:rPr>
        <w:t>を超えており</w:t>
      </w:r>
      <w:r>
        <w:rPr>
          <w:rFonts w:hint="default" w:ascii="メイリオ" w:hAnsi="メイリオ" w:eastAsia="メイリオ"/>
          <w:color w:val="000000" w:themeColor="text1"/>
          <w:sz w:val="24"/>
        </w:rPr>
        <w:t>他の区分に比べて多くなっています。</w:t>
      </w:r>
    </w:p>
    <w:p>
      <w:pPr>
        <w:pStyle w:val="0"/>
        <w:rPr>
          <w:rFonts w:hint="default" w:ascii="メイリオ" w:hAnsi="メイリオ" w:eastAsia="メイリオ"/>
          <w:color w:val="000000" w:themeColor="text1"/>
          <w:sz w:val="24"/>
        </w:rPr>
      </w:pPr>
      <w:r>
        <w:rPr>
          <w:rFonts w:hint="default"/>
          <w:color w:val="000000" w:themeColor="text1"/>
        </w:rPr>
        <w:object w:dxaOrig="7910" w:dyaOrig="5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style="mso-position-vertical-relative:text;z-index:37;width:384.85pt;height:270.5pt;mso-position-horizontal-relative:text;position:absolute;margin-left:20pt;margin-top:6.65pt;" filled="f" o:spt="75" type="#_x0000_t75">
            <v:fill/>
            <v:stroke joinstyle="miter"/>
            <v:imagedata o:title="" r:id="rId34"/>
            <o:lock v:ext="edit" aspectratio="t"/>
            <w10:wrap type="none" anchorx="text" anchory="text"/>
          </v:shape>
          <o:OLEObject Type="Embed" ProgID="AcroExch.Document.DC" ShapeID="_x0000_s1065" DrawAspect="Content" ObjectID="" r:id="rId35"/>
        </w:object>
      </w: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8260" w:dyaOrig="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style="mso-position-vertical-relative:text;z-index:38;width:421.3pt;height:205.3pt;mso-position-horizontal-relative:text;position:absolute;margin-left:0pt;margin-top:6.5pt;" filled="f" o:spt="75" type="#_x0000_t75">
            <v:fill/>
            <v:stroke joinstyle="miter"/>
            <v:imagedata o:title="" r:id="rId36"/>
            <o:lock v:ext="edit" aspectratio="t"/>
            <w10:wrap type="none" anchorx="text" anchory="text"/>
          </v:shape>
          <o:OLEObject Type="Embed" ProgID="AcroExch.Document.DC" ShapeID="_x0000_s1066" DrawAspect="Content" ObjectID="" r:id="rId37"/>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（２）介護・介助の必要性</w:t>
      </w:r>
    </w:p>
    <w:p>
      <w:pPr>
        <w:pStyle w:val="0"/>
        <w:ind w:left="210" w:leftChars="100" w:firstLine="240" w:firstLineChars="100"/>
        <w:rPr>
          <w:rFonts w:hint="default" w:ascii="メイリオ" w:hAnsi="メイリオ" w:eastAsia="メイリオ"/>
          <w:color w:val="000000" w:themeColor="text1"/>
          <w:sz w:val="24"/>
        </w:rPr>
      </w:pPr>
      <w:bookmarkStart w:id="20" w:name="_Toc128407956"/>
      <w:r>
        <w:rPr>
          <w:rFonts w:hint="eastAsia" w:ascii="メイリオ" w:hAnsi="メイリオ" w:eastAsia="メイリオ"/>
          <w:color w:val="000000" w:themeColor="text1"/>
          <w:sz w:val="24"/>
        </w:rPr>
        <w:t>日常生活での介護・介助の必要性については、「介護・介助は必要ない」が</w:t>
      </w:r>
      <w:r>
        <w:rPr>
          <w:rFonts w:hint="default" w:ascii="メイリオ" w:hAnsi="メイリオ" w:eastAsia="メイリオ"/>
          <w:color w:val="000000" w:themeColor="text1"/>
          <w:sz w:val="24"/>
        </w:rPr>
        <w:t>84.7</w:t>
      </w:r>
      <w:r>
        <w:rPr>
          <w:rFonts w:hint="default" w:ascii="メイリオ" w:hAnsi="メイリオ" w:eastAsia="メイリオ"/>
          <w:color w:val="000000" w:themeColor="text1"/>
          <w:sz w:val="24"/>
        </w:rPr>
        <w:t>％、「介護・介助は必要だが受けていない」が</w:t>
      </w:r>
      <w:r>
        <w:rPr>
          <w:rFonts w:hint="default" w:ascii="メイリオ" w:hAnsi="メイリオ" w:eastAsia="メイリオ"/>
          <w:color w:val="000000" w:themeColor="text1"/>
          <w:sz w:val="24"/>
        </w:rPr>
        <w:t>7.0</w:t>
      </w:r>
      <w:r>
        <w:rPr>
          <w:rFonts w:hint="default" w:ascii="メイリオ" w:hAnsi="メイリオ" w:eastAsia="メイリオ"/>
          <w:color w:val="000000" w:themeColor="text1"/>
          <w:sz w:val="24"/>
        </w:rPr>
        <w:t>％、「何らかの介護を受けている」が</w:t>
      </w:r>
      <w:r>
        <w:rPr>
          <w:rFonts w:hint="default" w:ascii="メイリオ" w:hAnsi="メイリオ" w:eastAsia="メイリオ"/>
          <w:color w:val="000000" w:themeColor="text1"/>
          <w:sz w:val="24"/>
        </w:rPr>
        <w:t>5.6</w:t>
      </w:r>
      <w:r>
        <w:rPr>
          <w:rFonts w:hint="default" w:ascii="メイリオ" w:hAnsi="メイリオ" w:eastAsia="メイリオ"/>
          <w:color w:val="000000" w:themeColor="text1"/>
          <w:sz w:val="24"/>
        </w:rPr>
        <w:t>％となっています。</w:t>
      </w:r>
    </w:p>
    <w:p>
      <w:pPr>
        <w:pStyle w:val="0"/>
        <w:ind w:left="210" w:leftChars="100" w:firstLine="240" w:firstLine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年齢でみると、高齢になるにつれて介護・介助を必要とする人の割合が高くなっています。</w:t>
      </w:r>
    </w:p>
    <w:p>
      <w:pPr>
        <w:pStyle w:val="0"/>
        <w:ind w:left="210" w:leftChars="100" w:firstLine="210" w:firstLineChars="100"/>
        <w:rPr>
          <w:rFonts w:hint="default" w:ascii="メイリオ" w:hAnsi="メイリオ" w:eastAsia="メイリオ"/>
          <w:color w:val="000000" w:themeColor="text1"/>
          <w:sz w:val="24"/>
        </w:rPr>
      </w:pPr>
      <w:r>
        <w:rPr>
          <w:rFonts w:hint="default"/>
          <w:color w:val="000000" w:themeColor="text1"/>
        </w:rPr>
        <w:object w:dxaOrig="7520" w:dyaOrig="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style="mso-position-vertical-relative:text;z-index:39;width:410.85pt;height:258pt;mso-position-horizontal-relative:text;position:absolute;margin-left:6.5pt;margin-top:10.4pt;" filled="f" o:spt="75" type="#_x0000_t75">
            <v:fill/>
            <v:stroke joinstyle="miter"/>
            <v:imagedata o:title="" r:id="rId38"/>
            <o:lock v:ext="edit" aspectratio="t"/>
            <w10:wrap type="none" anchorx="text" anchory="text"/>
          </v:shape>
          <o:OLEObject Type="Embed" ProgID="AcroExch.Document.DC" ShapeID="_x0000_s1067" DrawAspect="Content" ObjectID="" r:id="rId39"/>
        </w:object>
      </w: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r>
        <w:rPr>
          <w:rFonts w:hint="eastAsia"/>
          <w:color w:val="000000" w:themeColor="text1"/>
        </w:rPr>
        <w:object w:dxaOrig="5220" w:dyaOrig="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style="mso-position-vertical-relative:text;z-index:40;width:351.1pt;height:242.4pt;mso-position-horizontal-relative:text;position:absolute;margin-left:34.35pt;margin-top:16.350000000000001pt;" o:allowincell="t" filled="f" o:spt="75" type="#_x0000_t75">
            <v:fill/>
            <v:stroke joinstyle="miter"/>
            <v:imagedata o:title="" r:id="rId40"/>
            <o:lock v:ext="edit" aspectratio="t"/>
            <w10:wrap type="none" anchorx="text" anchory="text"/>
          </v:shape>
          <o:OLEObject Type="Embed" ProgID="AcroExch.Document.DC" ShapeID="_x0000_s1068" DrawAspect="Content" ObjectID="" r:id="rId41"/>
        </w:object>
      </w: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（３）趣味の有無</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趣味はあるかどうかについては、「趣味あり」が</w:t>
      </w:r>
      <w:r>
        <w:rPr>
          <w:rFonts w:hint="default" w:ascii="メイリオ" w:hAnsi="メイリオ" w:eastAsia="メイリオ"/>
          <w:color w:val="000000" w:themeColor="text1"/>
          <w:sz w:val="24"/>
        </w:rPr>
        <w:t>68.1</w:t>
      </w:r>
      <w:r>
        <w:rPr>
          <w:rFonts w:hint="default" w:ascii="メイリオ" w:hAnsi="メイリオ" w:eastAsia="メイリオ"/>
          <w:color w:val="000000" w:themeColor="text1"/>
          <w:sz w:val="24"/>
        </w:rPr>
        <w:t>％、「思いつかない」が</w:t>
      </w:r>
      <w:r>
        <w:rPr>
          <w:rFonts w:hint="default" w:ascii="メイリオ" w:hAnsi="メイリオ" w:eastAsia="メイリオ"/>
          <w:color w:val="000000" w:themeColor="text1"/>
          <w:sz w:val="24"/>
        </w:rPr>
        <w:t>26.0</w:t>
      </w:r>
      <w:r>
        <w:rPr>
          <w:rFonts w:hint="default" w:ascii="メイリオ" w:hAnsi="メイリオ" w:eastAsia="メイリオ"/>
          <w:color w:val="000000" w:themeColor="text1"/>
          <w:sz w:val="24"/>
        </w:rPr>
        <w:t>％となっています。</w:t>
      </w:r>
      <w:r>
        <w:rPr>
          <w:rFonts w:hint="eastAsia" w:ascii="メイリオ" w:hAnsi="メイリオ" w:eastAsia="メイリオ"/>
          <w:color w:val="000000" w:themeColor="text1"/>
          <w:sz w:val="24"/>
        </w:rPr>
        <w:t>また、回答された趣味の内容を示します。</w:t>
      </w:r>
    </w:p>
    <w:p>
      <w:pPr>
        <w:pStyle w:val="0"/>
        <w:widowControl w:val="1"/>
        <w:jc w:val="left"/>
        <w:rPr>
          <w:rFonts w:hint="default" w:ascii="メイリオ" w:hAnsi="メイリオ" w:eastAsia="メイリオ"/>
          <w:color w:val="000000" w:themeColor="text1"/>
        </w:rPr>
      </w:pPr>
      <w:r>
        <w:rPr>
          <w:rFonts w:hint="default"/>
          <w:color w:val="000000" w:themeColor="text1"/>
        </w:rPr>
        <w:object w:dxaOrig="7520" w:dyaOrig="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style="mso-position-vertical-relative:text;z-index:41;width:375.6pt;height:216pt;mso-position-horizontal-relative:text;position:absolute;margin-left:20.8pt;margin-top:8.4pt;" filled="f" o:spt="75" type="#_x0000_t75">
            <v:fill/>
            <v:stroke joinstyle="miter"/>
            <v:imagedata o:title="" r:id="rId42"/>
            <o:lock v:ext="edit" aspectratio="t"/>
            <w10:wrap type="none" anchorx="text" anchory="text"/>
          </v:shape>
          <o:OLEObject Type="Embed" ProgID="AcroExch.Document.DC" ShapeID="_x0000_s1069" DrawAspect="Content" ObjectID="" r:id="rId43"/>
        </w:object>
      </w: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p>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趣味の内容（一般高齢者）</w:t>
      </w:r>
    </w:p>
    <w:tbl>
      <w:tblPr>
        <w:tblStyle w:val="64"/>
        <w:tblW w:w="8494" w:type="dxa"/>
        <w:tblInd w:w="0" w:type="dxa"/>
        <w:tblLayout w:type="fixed"/>
        <w:tblLook w:firstRow="1" w:lastRow="0" w:firstColumn="1" w:lastColumn="0" w:noHBand="0" w:noVBand="1" w:val="04A0"/>
      </w:tblPr>
      <w:tblGrid>
        <w:gridCol w:w="1980"/>
        <w:gridCol w:w="6514"/>
      </w:tblGrid>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スポーツ</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ウォーキング／ゲートボール／ゴルフ／パークゴルフ／サイクリング／スポーツ／スポーツ観戦／ボッチャ／軽スポーツ／登山／ダンス／運動</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アウトドア・旅行</w:t>
            </w:r>
          </w:p>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関連</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ドライブ／温泉巡り／山菜取り／散歩／魚釣り／狩猟／食べ歩き／カメラ／海釣り／旅行／庭／庭の手入れ／畑仕事／花／野菜作り</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文化的な活動</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水彩画／映画／音楽／郷土研究（我が町、明治・大正・昭和時代の足跡など）／写真／切手収集／短歌／読書／俳句／筆書／漫画／競馬／インターネット／絵日記／漢字の本／将棋／車／字を書くこと／お茶飲み／カード収集／カラオケ／ギター演奏／クイズ／ドールハウス等／パチンコ／ゲーム／テレビゲーム／パソコンゲーム／マージャン／歌を聞く／数独の本の問題集／動画の撮影／</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創作関連</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／おやつ作り／園芸／花を育てる／菜園づくり／小物作り／生け花／カメラ／洋裁／料理／パッチワーク／レース編み／家庭菜園／裁縫／手芸／物の修理／物作り／編み物／縫い物</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鑑賞</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テレビ（ゴルフ、スポーツ観戦、歌番組、俳句番組、ドラマ）／テレビガイドを読むこと／博物館や美術館等での鑑賞</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仕事</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水引の内職</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その他</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ペット／家計／多数／政治・経済／歴代総理大臣が言えて書くことができる</w:t>
            </w:r>
          </w:p>
        </w:tc>
      </w:tr>
    </w:tbl>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趣味の内容（要支援認定者等）</w:t>
      </w:r>
    </w:p>
    <w:tbl>
      <w:tblPr>
        <w:tblStyle w:val="64"/>
        <w:tblW w:w="8494" w:type="dxa"/>
        <w:tblInd w:w="0" w:type="dxa"/>
        <w:tblLayout w:type="fixed"/>
        <w:tblLook w:firstRow="1" w:lastRow="0" w:firstColumn="1" w:lastColumn="0" w:noHBand="0" w:noVBand="1" w:val="04A0"/>
      </w:tblPr>
      <w:tblGrid>
        <w:gridCol w:w="1980"/>
        <w:gridCol w:w="6514"/>
      </w:tblGrid>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アウトドア</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花づくり／野菜づくり／畑／釣り</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文化的な活動</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工芸／手芸／聖書を読むこと／読書／ナンクロ</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創作関連</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編物／縫い物／塗り絵</w:t>
            </w:r>
          </w:p>
        </w:tc>
      </w:tr>
      <w:tr>
        <w:trPr/>
        <w:tc>
          <w:tcPr>
            <w:tcW w:w="1980"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鑑賞</w:t>
            </w:r>
          </w:p>
        </w:tc>
        <w:tc>
          <w:tcPr>
            <w:tcW w:w="6514" w:type="dxa"/>
            <w:vAlign w:val="top"/>
          </w:tcPr>
          <w:p>
            <w:pPr>
              <w:pStyle w:val="30"/>
              <w:rPr>
                <w:rFonts w:hint="default" w:ascii="メイリオ" w:hAnsi="メイリオ" w:eastAsia="メイリオ"/>
                <w:color w:val="000000" w:themeColor="text1"/>
                <w:sz w:val="16"/>
              </w:rPr>
            </w:pPr>
            <w:r>
              <w:rPr>
                <w:rFonts w:hint="eastAsia" w:ascii="メイリオ" w:hAnsi="メイリオ" w:eastAsia="メイリオ"/>
                <w:color w:val="000000" w:themeColor="text1"/>
                <w:sz w:val="16"/>
              </w:rPr>
              <w:t>野球鑑賞</w:t>
            </w:r>
          </w:p>
        </w:tc>
      </w:tr>
    </w:tbl>
    <w:p>
      <w:pPr>
        <w:pStyle w:val="0"/>
        <w:widowControl w:val="1"/>
        <w:jc w:val="left"/>
        <w:rPr>
          <w:rFonts w:hint="default" w:ascii="メイリオ" w:hAnsi="メイリオ" w:eastAsia="メイリオ"/>
          <w:color w:val="000000" w:themeColor="text1"/>
          <w:sz w:val="24"/>
        </w:rPr>
      </w:pPr>
      <w:bookmarkEnd w:id="20"/>
      <w:r>
        <w:rPr>
          <w:rFonts w:hint="eastAsia" w:ascii="メイリオ" w:hAnsi="メイリオ" w:eastAsia="メイリオ"/>
          <w:color w:val="000000" w:themeColor="text1"/>
          <w:sz w:val="24"/>
        </w:rPr>
        <w:t>（４）地域活動への参加者としての参加意向</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地域活動への参加意向をたずねたところ、「参加してもよい」が</w:t>
      </w:r>
      <w:r>
        <w:rPr>
          <w:rFonts w:hint="default" w:ascii="メイリオ" w:hAnsi="メイリオ" w:eastAsia="メイリオ"/>
          <w:color w:val="000000" w:themeColor="text1"/>
          <w:sz w:val="24"/>
        </w:rPr>
        <w:t>44.4</w:t>
      </w:r>
      <w:r>
        <w:rPr>
          <w:rFonts w:hint="default" w:ascii="メイリオ" w:hAnsi="メイリオ" w:eastAsia="メイリオ"/>
          <w:color w:val="000000" w:themeColor="text1"/>
          <w:sz w:val="24"/>
        </w:rPr>
        <w:t>％、「参加したくない」が</w:t>
      </w:r>
      <w:r>
        <w:rPr>
          <w:rFonts w:hint="default" w:ascii="メイリオ" w:hAnsi="メイリオ" w:eastAsia="メイリオ"/>
          <w:color w:val="000000" w:themeColor="text1"/>
          <w:sz w:val="24"/>
        </w:rPr>
        <w:t>38.8</w:t>
      </w:r>
      <w:r>
        <w:rPr>
          <w:rFonts w:hint="default" w:ascii="メイリオ" w:hAnsi="メイリオ" w:eastAsia="メイリオ"/>
          <w:color w:val="000000" w:themeColor="text1"/>
          <w:sz w:val="24"/>
        </w:rPr>
        <w:t>％、「是非参加したい」が</w:t>
      </w:r>
      <w:r>
        <w:rPr>
          <w:rFonts w:hint="default" w:ascii="メイリオ" w:hAnsi="メイリオ" w:eastAsia="メイリオ"/>
          <w:color w:val="000000" w:themeColor="text1"/>
          <w:sz w:val="24"/>
        </w:rPr>
        <w:t>4.7</w:t>
      </w:r>
      <w:r>
        <w:rPr>
          <w:rFonts w:hint="default" w:ascii="メイリオ" w:hAnsi="メイリオ" w:eastAsia="メイリオ"/>
          <w:color w:val="000000" w:themeColor="text1"/>
          <w:sz w:val="24"/>
        </w:rPr>
        <w:t>％、「既に参加している」が</w:t>
      </w:r>
      <w:r>
        <w:rPr>
          <w:rFonts w:hint="default" w:ascii="メイリオ" w:hAnsi="メイリオ" w:eastAsia="メイリオ"/>
          <w:color w:val="000000" w:themeColor="text1"/>
          <w:sz w:val="24"/>
        </w:rPr>
        <w:t>2.8</w:t>
      </w:r>
      <w:r>
        <w:rPr>
          <w:rFonts w:hint="default" w:ascii="メイリオ" w:hAnsi="メイリオ" w:eastAsia="メイリオ"/>
          <w:color w:val="000000" w:themeColor="text1"/>
          <w:sz w:val="24"/>
        </w:rPr>
        <w:t>％となっています。</w:t>
      </w: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9170"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style="mso-position-vertical-relative:text;z-index:42;width:365.5pt;height:316.60000000000002pt;mso-position-horizontal-relative:text;position:absolute;margin-left:29.85pt;margin-top:18.3pt;" filled="f" o:spt="75" type="#_x0000_t75">
            <v:fill/>
            <v:stroke joinstyle="miter"/>
            <v:imagedata o:title="" r:id="rId44"/>
            <o:lock v:ext="edit" aspectratio="t"/>
            <w10:wrap type="none" anchorx="text" anchory="text"/>
          </v:shape>
          <o:OLEObject Type="Embed" ProgID="AcroExch.Document.DC" ShapeID="_x0000_s1070" DrawAspect="Content" ObjectID="" r:id="rId45"/>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color w:val="000000" w:themeColor="text1"/>
        </w:rPr>
        <w:object w:dxaOrig="6270" w:dyaOrig="3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style="mso-position-vertical-relative:text;z-index:43;width:355.35pt;height:186.75pt;mso-position-horizontal-relative:text;position:absolute;margin-left:31.85pt;margin-top:0.4pt;" o:allowincell="t" filled="f" o:spt="75" type="#_x0000_t75">
            <v:fill/>
            <v:stroke joinstyle="miter"/>
            <v:imagedata o:title="" r:id="rId46"/>
            <o:lock v:ext="edit" aspectratio="t"/>
            <w10:wrap type="none" anchorx="text" anchory="text"/>
          </v:shape>
          <o:OLEObject Type="Embed" ProgID="AcroExch.Document.DC" ShapeID="_x0000_s1071" DrawAspect="Content" ObjectID="" r:id="rId47"/>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（５）インターネット環境</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インターネット環境について聞いたところ、「携帯電話を持っているが、インターネットを見ることができない（通話のみ）」が</w:t>
      </w:r>
      <w:r>
        <w:rPr>
          <w:rFonts w:hint="default" w:ascii="メイリオ" w:hAnsi="メイリオ" w:eastAsia="メイリオ"/>
          <w:color w:val="000000" w:themeColor="text1"/>
          <w:sz w:val="24"/>
        </w:rPr>
        <w:t>37.4</w:t>
      </w:r>
      <w:r>
        <w:rPr>
          <w:rFonts w:hint="default" w:ascii="メイリオ" w:hAnsi="メイリオ" w:eastAsia="メイリオ"/>
          <w:color w:val="000000" w:themeColor="text1"/>
          <w:sz w:val="24"/>
        </w:rPr>
        <w:t>％、「携帯電話でインターネットを見ることができる（スマートフォン等）」が</w:t>
      </w:r>
      <w:r>
        <w:rPr>
          <w:rFonts w:hint="default" w:ascii="メイリオ" w:hAnsi="メイリオ" w:eastAsia="メイリオ"/>
          <w:color w:val="000000" w:themeColor="text1"/>
          <w:sz w:val="24"/>
        </w:rPr>
        <w:t>32.1</w:t>
      </w:r>
      <w:r>
        <w:rPr>
          <w:rFonts w:hint="default" w:ascii="メイリオ" w:hAnsi="メイリオ" w:eastAsia="メイリオ"/>
          <w:color w:val="000000" w:themeColor="text1"/>
          <w:sz w:val="24"/>
        </w:rPr>
        <w:t>％、「家でインターネットを見ることができる」が</w:t>
      </w:r>
      <w:r>
        <w:rPr>
          <w:rFonts w:hint="default" w:ascii="メイリオ" w:hAnsi="メイリオ" w:eastAsia="メイリオ"/>
          <w:color w:val="000000" w:themeColor="text1"/>
          <w:sz w:val="24"/>
        </w:rPr>
        <w:t>19.5</w:t>
      </w:r>
      <w:r>
        <w:rPr>
          <w:rFonts w:hint="default" w:ascii="メイリオ" w:hAnsi="メイリオ" w:eastAsia="メイリオ"/>
          <w:color w:val="000000" w:themeColor="text1"/>
          <w:sz w:val="24"/>
        </w:rPr>
        <w:t>％、「インターネットを利用したことがない、もしくは、インターネットができる環境がない」が</w:t>
      </w:r>
      <w:r>
        <w:rPr>
          <w:rFonts w:hint="default" w:ascii="メイリオ" w:hAnsi="メイリオ" w:eastAsia="メイリオ"/>
          <w:color w:val="000000" w:themeColor="text1"/>
          <w:sz w:val="24"/>
        </w:rPr>
        <w:t>17.4</w:t>
      </w:r>
      <w:r>
        <w:rPr>
          <w:rFonts w:hint="default" w:ascii="メイリオ" w:hAnsi="メイリオ" w:eastAsia="メイリオ"/>
          <w:color w:val="000000" w:themeColor="text1"/>
          <w:sz w:val="24"/>
        </w:rPr>
        <w:t>％などとなっています。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性別では、男性が「携帯電話でインターネットを見ることができる（スマートフォン等）」が第</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位、女性が「携帯電話を持っているが、インターネットを見ることができない（通話のみ）」が第</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位となっています。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50" behindDoc="0" locked="0" layoutInCell="1" hidden="0" allowOverlap="1">
            <wp:simplePos x="0" y="0"/>
            <wp:positionH relativeFrom="column">
              <wp:posOffset>-584200</wp:posOffset>
            </wp:positionH>
            <wp:positionV relativeFrom="paragraph">
              <wp:posOffset>1270</wp:posOffset>
            </wp:positionV>
            <wp:extent cx="6766560" cy="2740025"/>
            <wp:effectExtent l="0" t="0" r="0" b="0"/>
            <wp:wrapNone/>
            <wp:docPr id="1072" name="Picture 29"/>
            <a:graphic xmlns:a="http://schemas.openxmlformats.org/drawingml/2006/main">
              <a:graphicData uri="http://schemas.openxmlformats.org/drawingml/2006/picture">
                <pic:pic xmlns:pic="http://schemas.openxmlformats.org/drawingml/2006/picture">
                  <pic:nvPicPr>
                    <pic:cNvPr id="1072" name="Picture 29"/>
                    <pic:cNvPicPr>
                      <a:picLocks noChangeAspect="1" noChangeArrowheads="1"/>
                    </pic:cNvPicPr>
                  </pic:nvPicPr>
                  <pic:blipFill>
                    <a:blip r:embed="rId48"/>
                    <a:stretch>
                      <a:fillRect/>
                    </a:stretch>
                  </pic:blipFill>
                  <pic:spPr>
                    <a:xfrm>
                      <a:off x="0" y="0"/>
                      <a:ext cx="6766560" cy="2740025"/>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（６）高齢者介護・福祉事業として特に力を入れてほしいもの</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高齢者介護・福祉事業として特に力を入れてほしいと思うものについては、「医療と介護の連携に関する事業」が</w:t>
      </w:r>
      <w:r>
        <w:rPr>
          <w:rFonts w:hint="default" w:ascii="メイリオ" w:hAnsi="メイリオ" w:eastAsia="メイリオ"/>
          <w:color w:val="000000" w:themeColor="text1"/>
          <w:sz w:val="24"/>
        </w:rPr>
        <w:t>41.1</w:t>
      </w:r>
      <w:r>
        <w:rPr>
          <w:rFonts w:hint="default" w:ascii="メイリオ" w:hAnsi="メイリオ" w:eastAsia="メイリオ"/>
          <w:color w:val="000000" w:themeColor="text1"/>
          <w:sz w:val="24"/>
        </w:rPr>
        <w:t>％と最も多く、次いで「介護保険サービス以外の生活支援サービス」</w:t>
      </w:r>
      <w:r>
        <w:rPr>
          <w:rFonts w:hint="default" w:ascii="メイリオ" w:hAnsi="メイリオ" w:eastAsia="メイリオ"/>
          <w:color w:val="000000" w:themeColor="text1"/>
          <w:sz w:val="24"/>
        </w:rPr>
        <w:t>15.1</w:t>
      </w:r>
      <w:r>
        <w:rPr>
          <w:rFonts w:hint="default" w:ascii="メイリオ" w:hAnsi="メイリオ" w:eastAsia="メイリオ"/>
          <w:color w:val="000000" w:themeColor="text1"/>
          <w:sz w:val="24"/>
        </w:rPr>
        <w:t>％、「生きがい、交流、介護予防関係」が</w:t>
      </w:r>
      <w:r>
        <w:rPr>
          <w:rFonts w:hint="default" w:ascii="メイリオ" w:hAnsi="メイリオ" w:eastAsia="メイリオ"/>
          <w:color w:val="000000" w:themeColor="text1"/>
          <w:sz w:val="24"/>
        </w:rPr>
        <w:t>8.1</w:t>
      </w:r>
      <w:r>
        <w:rPr>
          <w:rFonts w:hint="default" w:ascii="メイリオ" w:hAnsi="メイリオ" w:eastAsia="メイリオ"/>
          <w:color w:val="000000" w:themeColor="text1"/>
          <w:sz w:val="24"/>
        </w:rPr>
        <w:t>％、「認知症施策関係」</w:t>
      </w:r>
      <w:r>
        <w:rPr>
          <w:rFonts w:hint="default" w:ascii="メイリオ" w:hAnsi="メイリオ" w:eastAsia="メイリオ"/>
          <w:color w:val="000000" w:themeColor="text1"/>
          <w:sz w:val="24"/>
        </w:rPr>
        <w:t>6.3</w:t>
      </w:r>
      <w:r>
        <w:rPr>
          <w:rFonts w:hint="default" w:ascii="メイリオ" w:hAnsi="メイリオ" w:eastAsia="メイリオ"/>
          <w:color w:val="000000" w:themeColor="text1"/>
          <w:sz w:val="24"/>
        </w:rPr>
        <w:t>％などとなっています。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color w:val="000000" w:themeColor="text1"/>
        </w:rPr>
        <w:drawing>
          <wp:anchor distT="0" distB="0" distL="114300" distR="114300" simplePos="0" relativeHeight="51" behindDoc="0" locked="0" layoutInCell="1" hidden="0" allowOverlap="1">
            <wp:simplePos x="0" y="0"/>
            <wp:positionH relativeFrom="margin">
              <wp:posOffset>-213995</wp:posOffset>
            </wp:positionH>
            <wp:positionV relativeFrom="paragraph">
              <wp:posOffset>287655</wp:posOffset>
            </wp:positionV>
            <wp:extent cx="5885815" cy="2997200"/>
            <wp:effectExtent l="0" t="0" r="0" b="0"/>
            <wp:wrapNone/>
            <wp:docPr id="1073" name="Picture 30"/>
            <a:graphic xmlns:a="http://schemas.openxmlformats.org/drawingml/2006/main">
              <a:graphicData uri="http://schemas.openxmlformats.org/drawingml/2006/picture">
                <pic:pic xmlns:pic="http://schemas.openxmlformats.org/drawingml/2006/picture">
                  <pic:nvPicPr>
                    <pic:cNvPr id="1073" name="Picture 30"/>
                    <pic:cNvPicPr>
                      <a:picLocks noChangeAspect="1" noChangeArrowheads="1"/>
                    </pic:cNvPicPr>
                  </pic:nvPicPr>
                  <pic:blipFill>
                    <a:blip r:embed="rId49"/>
                    <a:stretch>
                      <a:fillRect/>
                    </a:stretch>
                  </pic:blipFill>
                  <pic:spPr>
                    <a:xfrm>
                      <a:off x="0" y="0"/>
                      <a:ext cx="5885815" cy="2997200"/>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（７）外出を控える理由</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アンケートで外出を控えている</w:t>
      </w:r>
      <w:r>
        <w:rPr>
          <w:rFonts w:hint="default" w:ascii="メイリオ" w:hAnsi="メイリオ" w:eastAsia="メイリオ"/>
          <w:color w:val="000000" w:themeColor="text1"/>
          <w:sz w:val="24"/>
        </w:rPr>
        <w:t>と答えた人に、外出を控えている理由についてたずねたところ、「足腰などの痛み」（</w:t>
      </w:r>
      <w:r>
        <w:rPr>
          <w:rFonts w:hint="default" w:ascii="メイリオ" w:hAnsi="メイリオ" w:eastAsia="メイリオ"/>
          <w:color w:val="000000" w:themeColor="text1"/>
          <w:sz w:val="24"/>
        </w:rPr>
        <w:t>40.6</w:t>
      </w:r>
      <w:r>
        <w:rPr>
          <w:rFonts w:hint="default" w:ascii="メイリオ" w:hAnsi="メイリオ" w:eastAsia="メイリオ"/>
          <w:color w:val="000000" w:themeColor="text1"/>
          <w:sz w:val="24"/>
        </w:rPr>
        <w:t>％）が最も多く、次いで「外での楽しみがない」（</w:t>
      </w:r>
      <w:r>
        <w:rPr>
          <w:rFonts w:hint="default" w:ascii="メイリオ" w:hAnsi="メイリオ" w:eastAsia="メイリオ"/>
          <w:color w:val="000000" w:themeColor="text1"/>
          <w:sz w:val="24"/>
        </w:rPr>
        <w:t>17.0</w:t>
      </w:r>
      <w:r>
        <w:rPr>
          <w:rFonts w:hint="default" w:ascii="メイリオ" w:hAnsi="メイリオ" w:eastAsia="メイリオ"/>
          <w:color w:val="000000" w:themeColor="text1"/>
          <w:sz w:val="24"/>
        </w:rPr>
        <w:t>％）、「病気」、「交通手段がない」、「トイレの心配」（同率</w:t>
      </w:r>
      <w:r>
        <w:rPr>
          <w:rFonts w:hint="default" w:ascii="メイリオ" w:hAnsi="メイリオ" w:eastAsia="メイリオ"/>
          <w:color w:val="000000" w:themeColor="text1"/>
          <w:sz w:val="24"/>
        </w:rPr>
        <w:t>13.2</w:t>
      </w:r>
      <w:r>
        <w:rPr>
          <w:rFonts w:hint="default" w:ascii="メイリオ" w:hAnsi="メイリオ" w:eastAsia="メイリオ"/>
          <w:color w:val="000000" w:themeColor="text1"/>
          <w:sz w:val="24"/>
        </w:rPr>
        <w:t>％）、「経済的に出られない」（</w:t>
      </w:r>
      <w:r>
        <w:rPr>
          <w:rFonts w:hint="default" w:ascii="メイリオ" w:hAnsi="メイリオ" w:eastAsia="メイリオ"/>
          <w:color w:val="000000" w:themeColor="text1"/>
          <w:sz w:val="24"/>
        </w:rPr>
        <w:t>11.3</w:t>
      </w:r>
      <w:r>
        <w:rPr>
          <w:rFonts w:hint="default" w:ascii="メイリオ" w:hAnsi="メイリオ" w:eastAsia="メイリオ"/>
          <w:color w:val="000000" w:themeColor="text1"/>
          <w:sz w:val="24"/>
        </w:rPr>
        <w:t>％）などとなっています。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年齢、性別でみてもすべての年齢階層、性別で「足腰などの痛み」が第１位となっています。　</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なお「その他」において、「コロナ感染への不安」「コロナ感染予防」と記入された方が複数名おりました。</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drawing>
          <wp:anchor distT="0" distB="0" distL="114300" distR="114300" simplePos="0" relativeHeight="52" behindDoc="0" locked="0" layoutInCell="1" hidden="0" allowOverlap="1">
            <wp:simplePos x="0" y="0"/>
            <wp:positionH relativeFrom="margin">
              <wp:align>center</wp:align>
            </wp:positionH>
            <wp:positionV relativeFrom="paragraph">
              <wp:posOffset>285750</wp:posOffset>
            </wp:positionV>
            <wp:extent cx="5739765" cy="3826510"/>
            <wp:effectExtent l="0" t="0" r="0" b="0"/>
            <wp:wrapNone/>
            <wp:docPr id="1074" name="Picture 31"/>
            <a:graphic xmlns:a="http://schemas.openxmlformats.org/drawingml/2006/main">
              <a:graphicData uri="http://schemas.openxmlformats.org/drawingml/2006/picture">
                <pic:pic xmlns:pic="http://schemas.openxmlformats.org/drawingml/2006/picture">
                  <pic:nvPicPr>
                    <pic:cNvPr id="1074" name="Picture 31"/>
                    <pic:cNvPicPr>
                      <a:picLocks noChangeAspect="1" noChangeArrowheads="1"/>
                    </pic:cNvPicPr>
                  </pic:nvPicPr>
                  <pic:blipFill>
                    <a:blip r:embed="rId50"/>
                    <a:stretch>
                      <a:fillRect/>
                    </a:stretch>
                  </pic:blipFill>
                  <pic:spPr>
                    <a:xfrm>
                      <a:off x="0" y="0"/>
                      <a:ext cx="5739765" cy="3826510"/>
                    </a:xfrm>
                    <a:prstGeom prst="rect">
                      <a:avLst/>
                    </a:prstGeom>
                    <a:noFill/>
                    <a:ln>
                      <a:noFill/>
                    </a:ln>
                  </pic:spPr>
                </pic:pic>
              </a:graphicData>
            </a:graphic>
          </wp:anchor>
        </w:drawing>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p>
    <w:p>
      <w:pPr>
        <w:pStyle w:val="40"/>
        <w:rPr>
          <w:rFonts w:hint="default"/>
          <w:color w:val="000000" w:themeColor="text1"/>
        </w:rPr>
      </w:pPr>
      <w:r>
        <w:rPr>
          <w:rFonts w:hint="eastAsia"/>
          <w:color w:val="000000" w:themeColor="text1"/>
        </w:rPr>
        <w:t>３　調査結果の概要（在宅介護実態調査）</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（１）家族等による介護の頻度</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家族等による介護の頻度については、「ほぼ毎日」が</w:t>
      </w:r>
      <w:r>
        <w:rPr>
          <w:rFonts w:hint="default" w:ascii="メイリオ" w:hAnsi="メイリオ" w:eastAsia="メイリオ"/>
          <w:color w:val="000000" w:themeColor="text1"/>
          <w:sz w:val="24"/>
        </w:rPr>
        <w:t>58.8</w:t>
      </w:r>
      <w:r>
        <w:rPr>
          <w:rFonts w:hint="default" w:ascii="メイリオ" w:hAnsi="メイリオ" w:eastAsia="メイリオ"/>
          <w:color w:val="000000" w:themeColor="text1"/>
          <w:sz w:val="24"/>
        </w:rPr>
        <w:t>％、「ない」が</w:t>
      </w:r>
      <w:r>
        <w:rPr>
          <w:rFonts w:hint="default" w:ascii="メイリオ" w:hAnsi="メイリオ" w:eastAsia="メイリオ"/>
          <w:color w:val="000000" w:themeColor="text1"/>
          <w:sz w:val="24"/>
        </w:rPr>
        <w:t>17.6</w:t>
      </w:r>
      <w:r>
        <w:rPr>
          <w:rFonts w:hint="default" w:ascii="メイリオ" w:hAnsi="メイリオ" w:eastAsia="メイリオ"/>
          <w:color w:val="000000" w:themeColor="text1"/>
          <w:sz w:val="24"/>
        </w:rPr>
        <w:t>％、「週１日以下」が</w:t>
      </w:r>
      <w:r>
        <w:rPr>
          <w:rFonts w:hint="default" w:ascii="メイリオ" w:hAnsi="メイリオ" w:eastAsia="メイリオ"/>
          <w:color w:val="000000" w:themeColor="text1"/>
          <w:sz w:val="24"/>
        </w:rPr>
        <w:t>5.9</w:t>
      </w:r>
      <w:r>
        <w:rPr>
          <w:rFonts w:hint="default" w:ascii="メイリオ" w:hAnsi="メイリオ" w:eastAsia="メイリオ"/>
          <w:color w:val="000000" w:themeColor="text1"/>
          <w:sz w:val="24"/>
        </w:rPr>
        <w:t>％、「週３～４日」が</w:t>
      </w:r>
      <w:r>
        <w:rPr>
          <w:rFonts w:hint="default" w:ascii="メイリオ" w:hAnsi="メイリオ" w:eastAsia="メイリオ"/>
          <w:color w:val="000000" w:themeColor="text1"/>
          <w:sz w:val="24"/>
        </w:rPr>
        <w:t>5.9</w:t>
      </w:r>
      <w:r>
        <w:rPr>
          <w:rFonts w:hint="default" w:ascii="メイリオ" w:hAnsi="メイリオ" w:eastAsia="メイリオ"/>
          <w:color w:val="000000" w:themeColor="text1"/>
          <w:sz w:val="24"/>
        </w:rPr>
        <w:t>％、「週１～２日」が</w:t>
      </w:r>
      <w:r>
        <w:rPr>
          <w:rFonts w:hint="default" w:ascii="メイリオ" w:hAnsi="メイリオ" w:eastAsia="メイリオ"/>
          <w:color w:val="000000" w:themeColor="text1"/>
          <w:sz w:val="24"/>
        </w:rPr>
        <w:t>5.9</w:t>
      </w:r>
      <w:r>
        <w:rPr>
          <w:rFonts w:hint="default" w:ascii="メイリオ" w:hAnsi="メイリオ" w:eastAsia="メイリオ"/>
          <w:color w:val="000000" w:themeColor="text1"/>
          <w:sz w:val="24"/>
        </w:rPr>
        <w:t>％となっています。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7520" w:dyaOrig="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style="mso-position-vertical-relative:text;z-index:44;width:421.95pt;height:242.65pt;mso-position-horizontal-relative:text;position:absolute;margin-left:0pt;margin-top:8pt;" filled="f" o:spt="75" type="#_x0000_t75">
            <v:fill/>
            <v:stroke joinstyle="miter"/>
            <v:imagedata o:title="" r:id="rId51"/>
            <o:lock v:ext="edit" aspectratio="t"/>
            <w10:wrap type="none" anchorx="text" anchory="text"/>
          </v:shape>
          <o:OLEObject Type="Embed" ProgID="AcroExch.Document.DC" ShapeID="_x0000_s1075" DrawAspect="Content" ObjectID="" r:id="rId52"/>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（２）主な介護者の年齢</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主な介護者の年齢については、「</w:t>
      </w:r>
      <w:r>
        <w:rPr>
          <w:rFonts w:hint="default" w:ascii="メイリオ" w:hAnsi="メイリオ" w:eastAsia="メイリオ"/>
          <w:color w:val="000000" w:themeColor="text1"/>
          <w:sz w:val="24"/>
        </w:rPr>
        <w:t>70</w:t>
      </w:r>
      <w:r>
        <w:rPr>
          <w:rFonts w:hint="default" w:ascii="メイリオ" w:hAnsi="メイリオ" w:eastAsia="メイリオ"/>
          <w:color w:val="000000" w:themeColor="text1"/>
          <w:sz w:val="24"/>
        </w:rPr>
        <w:t>代」（</w:t>
      </w:r>
      <w:r>
        <w:rPr>
          <w:rFonts w:hint="default" w:ascii="メイリオ" w:hAnsi="メイリオ" w:eastAsia="メイリオ"/>
          <w:color w:val="000000" w:themeColor="text1"/>
          <w:sz w:val="24"/>
        </w:rPr>
        <w:t>38.5</w:t>
      </w:r>
      <w:r>
        <w:rPr>
          <w:rFonts w:hint="default" w:ascii="メイリオ" w:hAnsi="メイリオ" w:eastAsia="メイリオ"/>
          <w:color w:val="000000" w:themeColor="text1"/>
          <w:sz w:val="24"/>
        </w:rPr>
        <w:t>％）が最も多く、次いで「</w:t>
      </w:r>
      <w:r>
        <w:rPr>
          <w:rFonts w:hint="default" w:ascii="メイリオ" w:hAnsi="メイリオ" w:eastAsia="メイリオ"/>
          <w:color w:val="000000" w:themeColor="text1"/>
          <w:sz w:val="24"/>
        </w:rPr>
        <w:t>80</w:t>
      </w:r>
      <w:r>
        <w:rPr>
          <w:rFonts w:hint="default" w:ascii="メイリオ" w:hAnsi="メイリオ" w:eastAsia="メイリオ"/>
          <w:color w:val="000000" w:themeColor="text1"/>
          <w:sz w:val="24"/>
        </w:rPr>
        <w:t>歳以上」（</w:t>
      </w:r>
      <w:r>
        <w:rPr>
          <w:rFonts w:hint="default" w:ascii="メイリオ" w:hAnsi="メイリオ" w:eastAsia="メイリオ"/>
          <w:color w:val="000000" w:themeColor="text1"/>
          <w:sz w:val="24"/>
        </w:rPr>
        <w:t>30.8</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60</w:t>
      </w:r>
      <w:r>
        <w:rPr>
          <w:rFonts w:hint="default" w:ascii="メイリオ" w:hAnsi="メイリオ" w:eastAsia="メイリオ"/>
          <w:color w:val="000000" w:themeColor="text1"/>
          <w:sz w:val="24"/>
        </w:rPr>
        <w:t>代」（</w:t>
      </w:r>
      <w:r>
        <w:rPr>
          <w:rFonts w:hint="default" w:ascii="メイリオ" w:hAnsi="メイリオ" w:eastAsia="メイリオ"/>
          <w:color w:val="000000" w:themeColor="text1"/>
          <w:sz w:val="24"/>
        </w:rPr>
        <w:t>15.4</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50</w:t>
      </w:r>
      <w:r>
        <w:rPr>
          <w:rFonts w:hint="default" w:ascii="メイリオ" w:hAnsi="メイリオ" w:eastAsia="メイリオ"/>
          <w:color w:val="000000" w:themeColor="text1"/>
          <w:sz w:val="24"/>
        </w:rPr>
        <w:t>代」（</w:t>
      </w:r>
      <w:r>
        <w:rPr>
          <w:rFonts w:hint="default" w:ascii="メイリオ" w:hAnsi="メイリオ" w:eastAsia="メイリオ"/>
          <w:color w:val="000000" w:themeColor="text1"/>
          <w:sz w:val="24"/>
        </w:rPr>
        <w:t>15.4</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40</w:t>
      </w:r>
      <w:r>
        <w:rPr>
          <w:rFonts w:hint="default" w:ascii="メイリオ" w:hAnsi="メイリオ" w:eastAsia="メイリオ"/>
          <w:color w:val="000000" w:themeColor="text1"/>
          <w:sz w:val="24"/>
        </w:rPr>
        <w:t>代」（</w:t>
      </w:r>
      <w:r>
        <w:rPr>
          <w:rFonts w:hint="default" w:ascii="メイリオ" w:hAnsi="メイリオ" w:eastAsia="メイリオ"/>
          <w:color w:val="000000" w:themeColor="text1"/>
          <w:sz w:val="24"/>
        </w:rPr>
        <w:t>7.7</w:t>
      </w:r>
      <w:r>
        <w:rPr>
          <w:rFonts w:hint="default" w:ascii="メイリオ" w:hAnsi="メイリオ" w:eastAsia="メイリオ"/>
          <w:color w:val="000000" w:themeColor="text1"/>
          <w:sz w:val="24"/>
        </w:rPr>
        <w:t>％）となっています。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7520" w:dyaOrig="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style="mso-position-vertical-relative:text;z-index:45;width:431.6pt;height:248.25pt;mso-position-horizontal-relative:text;position:absolute;margin-left:0pt;margin-top:0.55000000000000004pt;" filled="f" o:spt="75" type="#_x0000_t75">
            <v:fill/>
            <v:stroke joinstyle="miter"/>
            <v:imagedata o:title="" r:id="rId53"/>
            <o:lock v:ext="edit" aspectratio="t"/>
            <w10:wrap type="none" anchorx="text" anchory="text"/>
          </v:shape>
          <o:OLEObject Type="Embed" ProgID="AcroExch.Document.DC" ShapeID="_x0000_s1076" DrawAspect="Content" ObjectID="" r:id="rId54"/>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（３）介護保険サービス以外の支援・サービスの利用状況</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介護保険外の支援・サービスの利用状況について複数回答で聞いたところ、「利用していない」（</w:t>
      </w:r>
      <w:r>
        <w:rPr>
          <w:rFonts w:hint="default" w:ascii="メイリオ" w:hAnsi="メイリオ" w:eastAsia="メイリオ"/>
          <w:color w:val="000000" w:themeColor="text1"/>
          <w:sz w:val="24"/>
        </w:rPr>
        <w:t>41.2</w:t>
      </w:r>
      <w:r>
        <w:rPr>
          <w:rFonts w:hint="default" w:ascii="メイリオ" w:hAnsi="メイリオ" w:eastAsia="メイリオ"/>
          <w:color w:val="000000" w:themeColor="text1"/>
          <w:sz w:val="24"/>
        </w:rPr>
        <w:t>％）が最も多くなっています。具体的に利用しているサービスとしては、「買い物（宅配は含まない）」、「移送サービス（介護・福祉タクシー）」（同率</w:t>
      </w:r>
      <w:r>
        <w:rPr>
          <w:rFonts w:hint="default" w:ascii="メイリオ" w:hAnsi="メイリオ" w:eastAsia="メイリオ"/>
          <w:color w:val="000000" w:themeColor="text1"/>
          <w:sz w:val="24"/>
        </w:rPr>
        <w:t>23.5</w:t>
      </w:r>
      <w:r>
        <w:rPr>
          <w:rFonts w:hint="default" w:ascii="メイリオ" w:hAnsi="メイリオ" w:eastAsia="メイリオ"/>
          <w:color w:val="000000" w:themeColor="text1"/>
          <w:sz w:val="24"/>
        </w:rPr>
        <w:t>％）、「配食」・「調理」・「掃除・洗濯」「ゴミ出し」（同率</w:t>
      </w:r>
      <w:r>
        <w:rPr>
          <w:rFonts w:hint="default" w:ascii="メイリオ" w:hAnsi="メイリオ" w:eastAsia="メイリオ"/>
          <w:color w:val="000000" w:themeColor="text1"/>
          <w:sz w:val="24"/>
        </w:rPr>
        <w:t>17.6</w:t>
      </w:r>
      <w:r>
        <w:rPr>
          <w:rFonts w:hint="default" w:ascii="メイリオ" w:hAnsi="メイリオ" w:eastAsia="メイリオ"/>
          <w:color w:val="000000" w:themeColor="text1"/>
          <w:sz w:val="24"/>
        </w:rPr>
        <w:t>％）などとなっています。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color w:val="000000" w:themeColor="text1"/>
        </w:rPr>
        <w:object w:dxaOrig="8350"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style="mso-position-vertical-relative:text;z-index:46;width:428.2pt;height:276.85000000000002pt;mso-position-horizontal-relative:text;position:absolute;margin-left:0pt;margin-top:0pt;" filled="f" o:spt="75" type="#_x0000_t75">
            <v:fill/>
            <v:stroke joinstyle="miter"/>
            <v:imagedata o:title="" r:id="rId55"/>
            <o:lock v:ext="edit" aspectratio="t"/>
            <w10:wrap type="none" anchorx="text" anchory="text"/>
          </v:shape>
          <o:OLEObject Type="Embed" ProgID="AcroExch.Document.DC" ShapeID="_x0000_s1077" DrawAspect="Content" ObjectID="" r:id="rId56"/>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（４）在宅生活の継続のために充実が必要な支援・サービス</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在宅生活の継続のために充実が必要な支援・サービスについては、「見守り、声かけ」（</w:t>
      </w:r>
      <w:r>
        <w:rPr>
          <w:rFonts w:hint="default" w:ascii="メイリオ" w:hAnsi="メイリオ" w:eastAsia="メイリオ"/>
          <w:color w:val="000000" w:themeColor="text1"/>
          <w:sz w:val="24"/>
        </w:rPr>
        <w:t>35.3</w:t>
      </w:r>
      <w:r>
        <w:rPr>
          <w:rFonts w:hint="default" w:ascii="メイリオ" w:hAnsi="メイリオ" w:eastAsia="メイリオ"/>
          <w:color w:val="000000" w:themeColor="text1"/>
          <w:sz w:val="24"/>
        </w:rPr>
        <w:t>％）が最も多く、次いで「調理」、「掃除・洗濯」、「移送サービス（介護・福祉タクシー等）」（同率</w:t>
      </w:r>
      <w:r>
        <w:rPr>
          <w:rFonts w:hint="default" w:ascii="メイリオ" w:hAnsi="メイリオ" w:eastAsia="メイリオ"/>
          <w:color w:val="000000" w:themeColor="text1"/>
          <w:sz w:val="24"/>
        </w:rPr>
        <w:t>29.4</w:t>
      </w:r>
      <w:r>
        <w:rPr>
          <w:rFonts w:hint="default" w:ascii="メイリオ" w:hAnsi="メイリオ" w:eastAsia="メイリオ"/>
          <w:color w:val="000000" w:themeColor="text1"/>
          <w:sz w:val="24"/>
        </w:rPr>
        <w:t>％）、「買い物（宅配は含まない）」、「ゴミ出し」、「外出同行」、「サロンなどの定期的な通いの場」（同率</w:t>
      </w:r>
      <w:r>
        <w:rPr>
          <w:rFonts w:hint="default" w:ascii="メイリオ" w:hAnsi="メイリオ" w:eastAsia="メイリオ"/>
          <w:color w:val="000000" w:themeColor="text1"/>
          <w:sz w:val="24"/>
        </w:rPr>
        <w:t>23.5</w:t>
      </w:r>
      <w:r>
        <w:rPr>
          <w:rFonts w:hint="default" w:ascii="メイリオ" w:hAnsi="メイリオ" w:eastAsia="メイリオ"/>
          <w:color w:val="000000" w:themeColor="text1"/>
          <w:sz w:val="24"/>
        </w:rPr>
        <w:t>％）などの順となっています。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object w:dxaOrig="8380" w:dyaOrig="5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style="width:429.1pt;height:295.85000000000002pt;" filled="f" o:spt="75" type="#_x0000_t75">
            <v:fill/>
            <v:stroke joinstyle="miter"/>
            <v:imagedata o:title="" r:id="rId57"/>
            <o:lock v:ext="edit" aspectratio="t"/>
            <w10:anchorlock/>
          </v:shape>
          <o:OLEObject Type="Embed" ProgID="AcroExch.Document.DC" ShapeID="_x0000_s1078" DrawAspect="Content" ObjectID="" r:id="rId58"/>
        </w:objec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21" w:name="_Toc154129928"/>
      <w:r>
        <w:rPr>
          <w:rFonts w:hint="eastAsia"/>
          <w:color w:val="000000" w:themeColor="text1"/>
        </w:rPr>
        <w:t>第５節　事業所ヒアリング結果</w:t>
      </w:r>
      <w:bookmarkEnd w:id="21"/>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本計画策定にあたり、町内で介護サービスを提供する事業所にヒアリング調査を行い、介護サービスの現場における実態を聞き取りました。</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以下、調査概要と結果について示します。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203200" distR="203200" simplePos="0" relativeHeight="57" behindDoc="0" locked="0" layoutInCell="1" hidden="0" allowOverlap="1">
                <wp:simplePos x="0" y="0"/>
                <wp:positionH relativeFrom="column">
                  <wp:posOffset>-13335</wp:posOffset>
                </wp:positionH>
                <wp:positionV relativeFrom="paragraph">
                  <wp:posOffset>210820</wp:posOffset>
                </wp:positionV>
                <wp:extent cx="5504180" cy="1941830"/>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wps:spPr>
                        <a:xfrm>
                          <a:off x="0" y="0"/>
                          <a:ext cx="5504180" cy="1941830"/>
                        </a:xfrm>
                        <a:prstGeom prst="roundRect">
                          <a:avLst>
                            <a:gd name="adj" fmla="val 12198"/>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7;mso-wrap-distance-left:16pt;width:433.4pt;height:152.9pt;mso-position-horizontal-relative:text;position:absolute;margin-left:-1.05pt;margin-top:16.600000000000001pt;mso-wrap-distance-bottom:0pt;mso-wrap-distance-right:16pt;mso-wrap-distance-top:0pt;" o:spid="_x0000_s1079" o:allowincell="t" o:allowoverlap="t" filled="f" stroked="t" strokecolor="#000000 [3213]" strokeweight="1pt" o:spt="2" arcsize="7995f">
                <v:fill/>
                <v:stroke linestyle="single" miterlimit="8" endcap="flat" dashstyle="solid" filltype="solid"/>
                <v:textbox style="layout-flow:horizontal;"/>
                <v:imagedata o:title=""/>
                <w10:wrap type="none" anchorx="text" anchory="text"/>
              </v:roundrect>
            </w:pict>
          </mc:Fallback>
        </mc:AlternateConten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調査対象：町内の介護サービス事業所</w:t>
      </w:r>
    </w:p>
    <w:p>
      <w:pPr>
        <w:pStyle w:val="0"/>
        <w:widowControl w:val="1"/>
        <w:ind w:left="1500" w:leftChars="60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（特養しらかば苑、陸別町デイサービスセンター、ホームヘルプ　センターりくべつ、陸別薬局、陸別町国保関寛斎診療所、認知症対応型共同生活介護ゆうの里・あいの里）</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調査方法：調査票への記入と面談によるヒアリング</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調査時期：令和</w:t>
      </w:r>
      <w:r>
        <w:rPr>
          <w:rFonts w:hint="eastAsia" w:ascii="メイリオ" w:hAnsi="メイリオ" w:eastAsia="メイリオ"/>
          <w:color w:val="000000" w:themeColor="text1"/>
          <w:sz w:val="24"/>
        </w:rPr>
        <w:t>5</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11</w:t>
      </w:r>
      <w:r>
        <w:rPr>
          <w:rFonts w:hint="eastAsia" w:ascii="メイリオ" w:hAnsi="メイリオ" w:eastAsia="メイリオ"/>
          <w:color w:val="000000" w:themeColor="text1"/>
          <w:sz w:val="24"/>
        </w:rPr>
        <w:t>月～</w:t>
      </w:r>
      <w:r>
        <w:rPr>
          <w:rFonts w:hint="eastAsia" w:ascii="メイリオ" w:hAnsi="メイリオ" w:eastAsia="メイリオ"/>
          <w:color w:val="000000" w:themeColor="text1"/>
          <w:sz w:val="24"/>
        </w:rPr>
        <w:t>12</w:t>
      </w:r>
      <w:r>
        <w:rPr>
          <w:rFonts w:hint="eastAsia" w:ascii="メイリオ" w:hAnsi="メイリオ" w:eastAsia="メイリオ"/>
          <w:color w:val="000000" w:themeColor="text1"/>
          <w:sz w:val="24"/>
        </w:rPr>
        <w:t>月上旬</w:t>
      </w: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（聞き取り結果）</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○医療介護の人材確保が課題</w:t>
      </w:r>
    </w:p>
    <w:p>
      <w:pPr>
        <w:pStyle w:val="0"/>
        <w:widowControl w:val="1"/>
        <w:ind w:left="420" w:leftChars="2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事業を運営する上での課題について尋ねたところ「人員不足」「新規職員が来ない」との意見が共通していました。現状の運営で精いっぱいの状況があり、事業拡大は難しい現状がありました。</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○医療介護の連携の必要性について再確認が必要</w:t>
      </w:r>
    </w:p>
    <w:p>
      <w:pPr>
        <w:pStyle w:val="0"/>
        <w:widowControl w:val="1"/>
        <w:ind w:left="480" w:hanging="480" w:hanging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包括ケアシステムの構築には医療と介護の連携が基盤として必要だとすべての事業所が認識していますが、コロナ禍の影響で町内診療所の入退院支援や在宅看取りの実績が減り、医療と介護の連携が希薄になった現状が見受けられました。</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○高齢者の世代が変わってきて、昔ながらの年寄りのイメージが変化した</w:t>
      </w:r>
    </w:p>
    <w:p>
      <w:pPr>
        <w:pStyle w:val="0"/>
        <w:widowControl w:val="1"/>
        <w:ind w:left="480" w:hanging="480" w:hangingChars="200"/>
        <w:jc w:val="left"/>
        <w:rPr>
          <w:rFonts w:hint="default"/>
          <w:color w:val="000000" w:themeColor="text1"/>
        </w:rPr>
      </w:pPr>
      <w:r>
        <w:rPr>
          <w:rFonts w:hint="eastAsia" w:ascii="メイリオ" w:hAnsi="メイリオ" w:eastAsia="メイリオ"/>
          <w:color w:val="000000" w:themeColor="text1"/>
          <w:sz w:val="24"/>
        </w:rPr>
        <w:t>　　　高齢者の価値観や感覚が時代とともに変わってきており、介護や医療に要求する内容に変化が生じている印象があります。仕事一筋の世代から遊ぶことや楽しみを体験している世代に移り変わってきたため、世代の移り変わりを認識する必要があるとの意見が共通してありました。</w:t>
      </w:r>
      <w:bookmarkStart w:id="22" w:name="_Toc154129929"/>
    </w:p>
    <w:p>
      <w:pPr>
        <w:pStyle w:val="38"/>
        <w:rPr>
          <w:rFonts w:hint="default"/>
          <w:color w:val="000000" w:themeColor="text1"/>
        </w:rPr>
      </w:pPr>
      <w:r>
        <w:rPr>
          <w:rFonts w:hint="eastAsia"/>
          <w:color w:val="000000" w:themeColor="text1"/>
        </w:rPr>
        <w:t>第６節　第９期計画における課題</w:t>
      </w:r>
      <w:bookmarkEnd w:id="22"/>
      <w:r>
        <w:rPr>
          <w:rFonts w:hint="eastAsia"/>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高齢者、要介護者数等の推移動向、今後の施策ニーズ、第８期計画の実施状況、介護保険制度の改正等を踏まえ、第９期計画の課題を次のとおり整理します。</w:t>
      </w:r>
    </w:p>
    <w:p>
      <w:pPr>
        <w:pStyle w:val="26"/>
        <w:rPr>
          <w:rFonts w:hint="default"/>
          <w:color w:val="000000" w:themeColor="text1"/>
        </w:rPr>
      </w:pPr>
    </w:p>
    <w:p>
      <w:pPr>
        <w:pStyle w:val="40"/>
        <w:rPr>
          <w:rFonts w:hint="default"/>
          <w:color w:val="000000" w:themeColor="text1"/>
        </w:rPr>
      </w:pPr>
      <w:r>
        <w:rPr>
          <w:rFonts w:hint="eastAsia"/>
          <w:color w:val="000000" w:themeColor="text1"/>
        </w:rPr>
        <w:t>１　高齢化社会の一層の進展とサービス基盤の整備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期計画中に、いわゆる団塊の世代が全員</w:t>
      </w:r>
      <w:r>
        <w:rPr>
          <w:rFonts w:hint="eastAsia" w:ascii="メイリオ" w:hAnsi="メイリオ" w:eastAsia="メイリオ"/>
          <w:color w:val="000000" w:themeColor="text1"/>
          <w:sz w:val="24"/>
        </w:rPr>
        <w:t>75</w:t>
      </w:r>
      <w:r>
        <w:rPr>
          <w:rFonts w:hint="eastAsia" w:ascii="メイリオ" w:hAnsi="メイリオ" w:eastAsia="メイリオ"/>
          <w:color w:val="000000" w:themeColor="text1"/>
          <w:sz w:val="24"/>
        </w:rPr>
        <w:t>歳以上となる令和７（</w:t>
      </w:r>
      <w:r>
        <w:rPr>
          <w:rFonts w:hint="eastAsia" w:ascii="メイリオ" w:hAnsi="メイリオ" w:eastAsia="メイリオ"/>
          <w:color w:val="000000" w:themeColor="text1"/>
          <w:sz w:val="24"/>
        </w:rPr>
        <w:t>2025</w:t>
      </w:r>
      <w:r>
        <w:rPr>
          <w:rFonts w:hint="eastAsia" w:ascii="メイリオ" w:hAnsi="メイリオ" w:eastAsia="メイリオ"/>
          <w:color w:val="000000" w:themeColor="text1"/>
          <w:sz w:val="24"/>
        </w:rPr>
        <w:t>）年度を迎えます。ここから団塊の世代の子供世代が高齢者（</w:t>
      </w:r>
      <w:r>
        <w:rPr>
          <w:rFonts w:hint="eastAsia" w:ascii="メイリオ" w:hAnsi="メイリオ" w:eastAsia="メイリオ"/>
          <w:color w:val="000000" w:themeColor="text1"/>
          <w:sz w:val="24"/>
        </w:rPr>
        <w:t>65</w:t>
      </w:r>
      <w:r>
        <w:rPr>
          <w:rFonts w:hint="eastAsia" w:ascii="メイリオ" w:hAnsi="メイリオ" w:eastAsia="メイリオ"/>
          <w:color w:val="000000" w:themeColor="text1"/>
          <w:sz w:val="24"/>
        </w:rPr>
        <w:t>歳以上）となる令和</w:t>
      </w:r>
      <w:r>
        <w:rPr>
          <w:rFonts w:hint="eastAsia" w:ascii="メイリオ" w:hAnsi="メイリオ" w:eastAsia="メイリオ"/>
          <w:color w:val="000000" w:themeColor="text1"/>
          <w:sz w:val="24"/>
        </w:rPr>
        <w:t>22</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2040</w:t>
      </w:r>
      <w:r>
        <w:rPr>
          <w:rFonts w:hint="eastAsia" w:ascii="メイリオ" w:hAnsi="メイリオ" w:eastAsia="メイリオ"/>
          <w:color w:val="000000" w:themeColor="text1"/>
          <w:sz w:val="24"/>
        </w:rPr>
        <w:t>）年度まで、我が国の高齢化は非常に困難な局面を迎えるといえます。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制度においては介護・支援を必要としない人から、要支援、要介護と各段階を設定し、きめ細かくサービスを提供する体制を構築しています。こうしたサービス基盤も、高齢化の進展により、介護サービスを受ける高齢者が増加することによってその財政的脆弱性が懸念されています。医療・介護双方のニーズを有する要介護高齢者が増加し、一方で生産年齢人口が減少している状況を踏まえ、本計画において、具体的な取組内容や目標を定め、より一層介護サービスの基盤を整備することが重要になり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また、介護サービス等の持続可能性を維持するために、介護サービス需要の変化を予測すると同時に、できるだけ介護状態にならないようにする介護予防の取り組みを推進することが求められます。</w:t>
      </w:r>
    </w:p>
    <w:p>
      <w:pPr>
        <w:pStyle w:val="0"/>
        <w:widowControl w:val="1"/>
        <w:ind w:left="240" w:hanging="240" w:hangingChars="100"/>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２　地域共生社会の実現と多世代を対象とした総合支援体制の構築</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共生社会」の理念や考え方を踏まえた包括的な支援体制の整備や具体的な取り組みが重要となります。地域共生社会の実現に向けた中核的な基盤は地域包括ケアシステムになります。本計画においては、地域包括ケアシステムをさらに深化させるために、地域包括ケアシステムの具体的な拠点としての地域包括支援センターの運営を適切に推進していき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具体的な取り組みの方向性として、地域ケア会議の深化や地域包括支援センターによる総合相談事業の充実、関係各機関との連携や情報共有を促進し、多世代を広く対象とした支援業務をより円滑に推進していくこととし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認知症基本法を踏まえた認知症施策の推進</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認知症基本法の理念は従来の認知症対策における基本的考え方を踏襲しています。同法によると、以下のような考え方をもって認知症対策に取り組むこととされています。</w:t>
      </w:r>
    </w:p>
    <w:p>
      <w:pPr>
        <w:pStyle w:val="0"/>
        <w:widowControl w:val="1"/>
        <w:jc w:val="left"/>
        <w:rPr>
          <w:rFonts w:hint="default" w:ascii="メイリオ" w:hAnsi="メイリオ" w:eastAsia="メイリオ"/>
          <w:color w:val="000000" w:themeColor="text1"/>
        </w:rPr>
      </w:pPr>
      <w:r>
        <w:rPr>
          <w:rFonts w:hint="eastAsia"/>
          <w:color w:val="000000" w:themeColor="text1"/>
        </w:rPr>
        <mc:AlternateContent>
          <mc:Choice Requires="wps">
            <w:drawing>
              <wp:anchor distT="0" distB="0" distL="114300" distR="114300" simplePos="0" relativeHeight="21" behindDoc="0" locked="0" layoutInCell="1" hidden="0" allowOverlap="1">
                <wp:simplePos x="0" y="0"/>
                <wp:positionH relativeFrom="column">
                  <wp:posOffset>-9525</wp:posOffset>
                </wp:positionH>
                <wp:positionV relativeFrom="paragraph">
                  <wp:posOffset>162560</wp:posOffset>
                </wp:positionV>
                <wp:extent cx="5499735" cy="3458845"/>
                <wp:effectExtent l="635" t="635" r="29845" b="10795"/>
                <wp:wrapNone/>
                <wp:docPr id="1080" name="四角形: 角を丸くする 1"/>
                <a:graphic xmlns:a="http://schemas.openxmlformats.org/drawingml/2006/main">
                  <a:graphicData uri="http://schemas.microsoft.com/office/word/2010/wordprocessingShape">
                    <wps:wsp>
                      <wps:cNvPr id="1080" name="四角形: 角を丸くする 1"/>
                      <wps:cNvSpPr/>
                      <wps:spPr>
                        <a:xfrm>
                          <a:off x="0" y="0"/>
                          <a:ext cx="5499735" cy="3458845"/>
                        </a:xfrm>
                        <a:prstGeom prst="roundRect">
                          <a:avLst>
                            <a:gd name="adj" fmla="val 5912"/>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 style="mso-position-vertical-relative:text;z-index:21;mso-wrap-distance-left:9pt;width:433.05pt;height:272.35000000000002pt;mso-position-horizontal-relative:text;position:absolute;margin-left:-0.75pt;margin-top:12.8pt;mso-wrap-distance-bottom:0pt;mso-wrap-distance-right:9pt;mso-wrap-distance-top:0pt;" o:spid="_x0000_s1080" o:allowincell="t" o:allowoverlap="t" filled="f" stroked="t" strokecolor="#000000 [3213]" strokeweight="1pt" o:spt="2" arcsize="3875f">
                <v:fill/>
                <v:stroke linestyle="single" miterlimit="8" endcap="flat" dashstyle="solid" filltype="solid"/>
                <v:textbox style="layout-flow:horizontal;"/>
                <v:imagedata o:title=""/>
                <w10:wrap type="none" anchorx="text" anchory="text"/>
              </v:roundrect>
            </w:pict>
          </mc:Fallback>
        </mc:AlternateContent>
      </w:r>
    </w:p>
    <w:p>
      <w:pPr>
        <w:pStyle w:val="0"/>
        <w:widowControl w:val="1"/>
        <w:ind w:left="450" w:leftChars="10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①</w:t>
      </w:r>
      <w:r>
        <w:rPr>
          <w:rFonts w:hint="default" w:ascii="メイリオ" w:hAnsi="メイリオ" w:eastAsia="メイリオ"/>
          <w:color w:val="000000" w:themeColor="text1"/>
          <w:sz w:val="24"/>
        </w:rPr>
        <w:t>全ての認知症の人が、自らの意思によって日常生活及び社会生活を営む</w:t>
      </w:r>
      <w:r>
        <w:rPr>
          <w:rFonts w:hint="eastAsia" w:ascii="メイリオ" w:hAnsi="メイリオ" w:eastAsia="メイリオ"/>
          <w:color w:val="000000" w:themeColor="text1"/>
          <w:sz w:val="24"/>
        </w:rPr>
        <w:t>　</w:t>
      </w:r>
      <w:r>
        <w:rPr>
          <w:rFonts w:hint="default" w:ascii="メイリオ" w:hAnsi="メイリオ" w:eastAsia="メイリオ"/>
          <w:color w:val="000000" w:themeColor="text1"/>
          <w:sz w:val="24"/>
        </w:rPr>
        <w:t>ことができる。</w:t>
      </w:r>
    </w:p>
    <w:p>
      <w:pPr>
        <w:pStyle w:val="0"/>
        <w:widowControl w:val="1"/>
        <w:ind w:left="450" w:leftChars="10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②</w:t>
      </w:r>
      <w:r>
        <w:rPr>
          <w:rFonts w:hint="default" w:ascii="メイリオ" w:hAnsi="メイリオ" w:eastAsia="メイリオ"/>
          <w:color w:val="000000" w:themeColor="text1"/>
          <w:sz w:val="24"/>
        </w:rPr>
        <w:t>国民が、認知症に関する正しい知識及び認知症の人に関する正しい理解を深めることができる。</w:t>
      </w:r>
    </w:p>
    <w:p>
      <w:pPr>
        <w:pStyle w:val="0"/>
        <w:widowControl w:val="1"/>
        <w:ind w:left="450" w:leftChars="10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③</w:t>
      </w:r>
      <w:r>
        <w:rPr>
          <w:rFonts w:hint="default" w:ascii="メイリオ" w:hAnsi="メイリオ" w:eastAsia="メイリオ"/>
          <w:color w:val="000000" w:themeColor="text1"/>
          <w:sz w:val="24"/>
        </w:rPr>
        <w:t>全ての認知症の人が、社会の対等な構成員として、地域において安全にかつ安心して自立した日常生活を</w:t>
      </w:r>
      <w:r>
        <w:rPr>
          <w:rFonts w:hint="eastAsia" w:ascii="メイリオ" w:hAnsi="メイリオ" w:eastAsia="メイリオ"/>
          <w:color w:val="000000" w:themeColor="text1"/>
          <w:sz w:val="24"/>
        </w:rPr>
        <w:t>営むことができるとともに、その個性と能力を十分に発揮することができる。</w:t>
      </w:r>
    </w:p>
    <w:p>
      <w:pPr>
        <w:pStyle w:val="0"/>
        <w:widowControl w:val="1"/>
        <w:ind w:left="450" w:leftChars="100" w:hanging="240" w:hangingChars="100"/>
        <w:jc w:val="left"/>
        <w:rPr>
          <w:rFonts w:hint="default" w:ascii="メイリオ" w:hAnsi="メイリオ" w:eastAsia="メイリオ"/>
          <w:color w:val="000000" w:themeColor="text1"/>
        </w:rPr>
      </w:pPr>
      <w:r>
        <w:rPr>
          <w:rFonts w:hint="eastAsia" w:ascii="メイリオ" w:hAnsi="メイリオ" w:eastAsia="メイリオ"/>
          <w:color w:val="000000" w:themeColor="text1"/>
          <w:sz w:val="24"/>
        </w:rPr>
        <w:t>④</w:t>
      </w:r>
      <w:r>
        <w:rPr>
          <w:rFonts w:hint="default" w:ascii="メイリオ" w:hAnsi="メイリオ" w:eastAsia="メイリオ"/>
          <w:color w:val="000000" w:themeColor="text1"/>
          <w:sz w:val="24"/>
        </w:rPr>
        <w:t>良質かつ適切な保健医療サービス及び福祉サービスが切れ目なく提供される。</w:t>
      </w:r>
    </w:p>
    <w:p>
      <w:pPr>
        <w:pStyle w:val="0"/>
        <w:widowControl w:val="1"/>
        <w:ind w:left="450" w:leftChars="100" w:hanging="240" w:hangingChars="100"/>
        <w:jc w:val="left"/>
        <w:rPr>
          <w:rFonts w:hint="default" w:ascii="メイリオ" w:hAnsi="メイリオ" w:eastAsia="メイリオ"/>
          <w:color w:val="000000" w:themeColor="text1"/>
        </w:rPr>
      </w:pPr>
      <w:r>
        <w:rPr>
          <w:rFonts w:hint="eastAsia" w:ascii="メイリオ" w:hAnsi="メイリオ" w:eastAsia="メイリオ"/>
          <w:color w:val="000000" w:themeColor="text1"/>
          <w:sz w:val="24"/>
        </w:rPr>
        <w:t>⑤</w:t>
      </w:r>
      <w:r>
        <w:rPr>
          <w:rFonts w:hint="default" w:ascii="メイリオ" w:hAnsi="メイリオ" w:eastAsia="メイリオ"/>
          <w:color w:val="000000" w:themeColor="text1"/>
          <w:sz w:val="24"/>
        </w:rPr>
        <w:t>家族等に対する支援により、認知症の人及び家族等が地域において安心して日常生活を営むことができる。</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本計画においても、認知症の方本人に対する支援に加え、認知症に関する正しい知識の普及啓発、予防活動、社会参加支援等により、認知症への社会の理解を深める方策を検討します。</w:t>
      </w:r>
    </w:p>
    <w:p>
      <w:pPr>
        <w:pStyle w:val="40"/>
        <w:rPr>
          <w:rFonts w:hint="default"/>
          <w:color w:val="000000" w:themeColor="text1"/>
        </w:rPr>
      </w:pPr>
      <w:r>
        <w:rPr>
          <w:rFonts w:hint="eastAsia"/>
          <w:color w:val="000000" w:themeColor="text1"/>
        </w:rPr>
        <w:t>４　介護予防の推進による重度化の防止</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年齢を重ねると誰もが身体機能、認知機能が衰えてきます。介護保険は身体機能、認知機能の衰えを補い、健康で生きがいのある生活を送るためのサービスですが、一方でなるべく給付を抑制し、介護保険事業を持続可能なものにするために、高齢者ができるだけ身体的、認知的に介護サービスに頼らずに済むように支援することも求められ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こうした観点から、リハビリテーションの理念を踏まえて「心身機能」「活動」「参加」のそれぞれの要素に働きかけ、介護予防・健康づくりの取り組みを推進し、健康寿命の延伸を図るとともに、介護サービス給付の適切な利用による介護保険事業の持続可能性を担保することを目指し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w:t>
      </w:r>
    </w:p>
    <w:p>
      <w:pPr>
        <w:pStyle w:val="40"/>
        <w:rPr>
          <w:rFonts w:hint="default"/>
          <w:color w:val="000000" w:themeColor="text1"/>
        </w:rPr>
      </w:pPr>
      <w:r>
        <w:rPr>
          <w:rFonts w:hint="eastAsia"/>
          <w:color w:val="000000" w:themeColor="text1"/>
        </w:rPr>
        <w:t>５　在宅医療と介護の連携の強化</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要介護状態が進むと、医療ニーズと介護ニーズの両方を必要とする高齢者が増えることが予想されます。こうしたニーズに対し在宅医療・介護連携の推進により、在宅医療及び介護が円滑に提供される仕組みを構築し、多様なニーズを持つ高齢者を住み慣れた地域で支えていくために、必要となる在宅医療・介護連携のための体制を充実させることが求められます。</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本計画においても、従来から取り組んでいる医療・介護の連携についてさらにその実効性を高めるように見直しを進めます。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６　介護保険給付の適正化</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令和</w:t>
      </w:r>
      <w:r>
        <w:rPr>
          <w:rFonts w:hint="eastAsia" w:ascii="メイリオ" w:hAnsi="メイリオ" w:eastAsia="メイリオ"/>
          <w:color w:val="000000" w:themeColor="text1"/>
          <w:sz w:val="24"/>
        </w:rPr>
        <w:t>5</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7</w:t>
      </w:r>
      <w:r>
        <w:rPr>
          <w:rFonts w:hint="eastAsia" w:ascii="メイリオ" w:hAnsi="メイリオ" w:eastAsia="メイリオ"/>
          <w:color w:val="000000" w:themeColor="text1"/>
          <w:sz w:val="24"/>
        </w:rPr>
        <w:t>月に厚生労働省によって示された全国介護保険担当課長会議資料によると、介護給付適正化事業について従来の</w:t>
      </w:r>
      <w:r>
        <w:rPr>
          <w:rFonts w:hint="eastAsia" w:ascii="メイリオ" w:hAnsi="メイリオ" w:eastAsia="メイリオ"/>
          <w:color w:val="000000" w:themeColor="text1"/>
          <w:sz w:val="24"/>
        </w:rPr>
        <w:t>5</w:t>
      </w:r>
      <w:r>
        <w:rPr>
          <w:rFonts w:hint="eastAsia" w:ascii="メイリオ" w:hAnsi="メイリオ" w:eastAsia="メイリオ"/>
          <w:color w:val="000000" w:themeColor="text1"/>
          <w:sz w:val="24"/>
        </w:rPr>
        <w:t>事業を整理・見直しし、</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事業に再編することとなりました。本計画においてもその主旨に則り、給付適正化事業として以下のとおり取り組みます。</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0"/>
        <w:widowControl w:val="1"/>
        <w:ind w:left="210" w:leftChars="100" w:firstLine="210" w:firstLineChars="100"/>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203200" distR="203200" simplePos="0" relativeHeight="58" behindDoc="0" locked="0" layoutInCell="1" hidden="0" allowOverlap="1">
                <wp:simplePos x="0" y="0"/>
                <wp:positionH relativeFrom="column">
                  <wp:posOffset>112395</wp:posOffset>
                </wp:positionH>
                <wp:positionV relativeFrom="paragraph">
                  <wp:posOffset>229870</wp:posOffset>
                </wp:positionV>
                <wp:extent cx="5240020" cy="1038860"/>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wps:spPr>
                        <a:xfrm>
                          <a:off x="0" y="0"/>
                          <a:ext cx="5240020" cy="103886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8;mso-wrap-distance-left:16pt;width:412.6pt;height:81.8pt;mso-position-horizontal-relative:text;position:absolute;margin-left:8.85pt;margin-top:18.100000000000001pt;mso-wrap-distance-bottom:0pt;mso-wrap-distance-right:16pt;mso-wrap-distance-top:0pt;" o:spid="_x0000_s1081"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①要介護認定の適正化</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②ケアプランの点検、住宅改修の点検、福祉用具購入・貸与調査</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③縦覧点検・医療情報との突合</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７　高齢者の社会参加と権利擁護、尊厳の確保に向けた取り組み</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高齢者は介護サービスを受けるだけの存在と捉えるのではなく、地域活動に積極的に関わり、生きがいやつながりをもって暮らしていく存在であり、人間として種々の権利と尊厳が守られながら暮らしていく存在であると認識し、さまざまな形で高齢者の暮らしをサポートしていく必要があ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高齢者一人ひとりの経験や価値観、意欲に応じた地域での日常生活を支え、新たな高齢者観と向き合い町づくりを目指します。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6"/>
        <w:rPr>
          <w:rFonts w:hint="default"/>
          <w:color w:val="000000" w:themeColor="text1"/>
        </w:rPr>
      </w:pPr>
      <w:bookmarkStart w:id="23" w:name="_Toc154129930"/>
      <w:r>
        <w:rPr>
          <w:rFonts w:hint="eastAsia"/>
          <w:color w:val="000000" w:themeColor="text1"/>
        </w:rPr>
        <w:t>第３章　計画の基本理念と基本的方向</w:t>
      </w:r>
      <w:bookmarkEnd w:id="23"/>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24" w:name="_Toc154129931"/>
      <w:r>
        <w:rPr>
          <w:rFonts w:hint="eastAsia"/>
          <w:color w:val="000000" w:themeColor="text1"/>
        </w:rPr>
        <w:t>第１節　基本理念</w:t>
      </w:r>
      <w:bookmarkEnd w:id="24"/>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高齢化が進むということは、単に高齢人口が増加することだけを意味するのではありません。高齢化の進展は、要介護状態となる高齢者</w:t>
      </w:r>
      <w:r>
        <w:rPr>
          <w:rFonts w:hint="default" w:ascii="メイリオ" w:hAnsi="メイリオ" w:eastAsia="メイリオ"/>
          <w:color w:val="000000" w:themeColor="text1"/>
          <w:sz w:val="24"/>
        </w:rPr>
        <w:t>の増加</w:t>
      </w:r>
      <w:r>
        <w:rPr>
          <w:rFonts w:hint="eastAsia" w:ascii="メイリオ" w:hAnsi="メイリオ" w:eastAsia="メイリオ"/>
          <w:color w:val="000000" w:themeColor="text1"/>
          <w:sz w:val="24"/>
        </w:rPr>
        <w:t>をはじめ、</w:t>
      </w:r>
      <w:r>
        <w:rPr>
          <w:rFonts w:hint="default" w:ascii="メイリオ" w:hAnsi="メイリオ" w:eastAsia="メイリオ"/>
          <w:color w:val="000000" w:themeColor="text1"/>
          <w:sz w:val="24"/>
        </w:rPr>
        <w:t>高齢者の</w:t>
      </w:r>
      <w:r>
        <w:rPr>
          <w:rFonts w:hint="eastAsia" w:ascii="メイリオ" w:hAnsi="メイリオ" w:eastAsia="メイリオ"/>
          <w:color w:val="000000" w:themeColor="text1"/>
          <w:sz w:val="24"/>
        </w:rPr>
        <w:t>生活意識、ニーズ等がさらに多様化していくことが予想されます。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また、介護や医療、介護予防サービスの担い手である生産年齢人口は減少傾向にあることから、増えるニーズに対応した生産性向上や人材確保の取り組みも喫緊の課題となります。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こうしたことを総合すると、より一層高齢者の自立支援と</w:t>
      </w:r>
      <w:r>
        <w:rPr>
          <w:rFonts w:hint="default" w:ascii="メイリオ" w:hAnsi="メイリオ" w:eastAsia="メイリオ"/>
          <w:color w:val="000000" w:themeColor="text1"/>
          <w:sz w:val="24"/>
        </w:rPr>
        <w:t>介護予防・重度化防止に向けた取り組み</w:t>
      </w:r>
      <w:r>
        <w:rPr>
          <w:rFonts w:hint="eastAsia" w:ascii="メイリオ" w:hAnsi="メイリオ" w:eastAsia="メイリオ"/>
          <w:color w:val="000000" w:themeColor="text1"/>
          <w:sz w:val="24"/>
        </w:rPr>
        <w:t>や</w:t>
      </w:r>
      <w:r>
        <w:rPr>
          <w:rFonts w:hint="default" w:ascii="メイリオ" w:hAnsi="メイリオ" w:eastAsia="メイリオ"/>
          <w:color w:val="000000" w:themeColor="text1"/>
          <w:sz w:val="24"/>
        </w:rPr>
        <w:t>、地域共生社会の実</w:t>
      </w:r>
      <w:r>
        <w:rPr>
          <w:rFonts w:hint="eastAsia" w:ascii="メイリオ" w:hAnsi="メイリオ" w:eastAsia="メイリオ"/>
          <w:color w:val="000000" w:themeColor="text1"/>
          <w:sz w:val="24"/>
        </w:rPr>
        <w:t>現に向けた</w:t>
      </w:r>
      <w:r>
        <w:rPr>
          <w:rFonts w:hint="default" w:ascii="メイリオ" w:hAnsi="メイリオ" w:eastAsia="メイリオ"/>
          <w:color w:val="000000" w:themeColor="text1"/>
          <w:sz w:val="24"/>
        </w:rPr>
        <w:t>取り組みを進めていくとともに、介護保険制度の持続可能性を確保する</w:t>
      </w:r>
      <w:r>
        <w:rPr>
          <w:rFonts w:hint="eastAsia" w:ascii="メイリオ" w:hAnsi="メイリオ" w:eastAsia="メイリオ"/>
          <w:color w:val="000000" w:themeColor="text1"/>
          <w:sz w:val="24"/>
        </w:rPr>
        <w:t>ことに配慮し、サービスを必要とする</w:t>
      </w:r>
      <w:r>
        <w:rPr>
          <w:rFonts w:hint="default" w:ascii="メイリオ" w:hAnsi="メイリオ" w:eastAsia="メイリオ"/>
          <w:color w:val="000000" w:themeColor="text1"/>
          <w:sz w:val="24"/>
        </w:rPr>
        <w:t>町民に必要なサービスが提供されるようにし</w:t>
      </w:r>
      <w:r>
        <w:rPr>
          <w:rFonts w:hint="eastAsia" w:ascii="メイリオ" w:hAnsi="メイリオ" w:eastAsia="メイリオ"/>
          <w:color w:val="000000" w:themeColor="text1"/>
          <w:sz w:val="24"/>
        </w:rPr>
        <w:t>ていく必要があります。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本計画では、これまで掲げてきた理念と進めてきた</w:t>
      </w:r>
      <w:r>
        <w:rPr>
          <w:rFonts w:hint="default" w:ascii="メイリオ" w:hAnsi="メイリオ" w:eastAsia="メイリオ"/>
          <w:color w:val="000000" w:themeColor="text1"/>
          <w:sz w:val="24"/>
        </w:rPr>
        <w:t>取り組み並びに陸別町</w:t>
      </w:r>
      <w:r>
        <w:rPr>
          <w:rFonts w:hint="eastAsia" w:ascii="メイリオ" w:hAnsi="メイリオ" w:eastAsia="メイリオ"/>
          <w:color w:val="000000" w:themeColor="text1"/>
          <w:sz w:val="24"/>
        </w:rPr>
        <w:t>総合計画</w:t>
      </w:r>
      <w:r>
        <w:rPr>
          <w:rFonts w:hint="default" w:ascii="メイリオ" w:hAnsi="メイリオ" w:eastAsia="メイリオ"/>
          <w:color w:val="000000" w:themeColor="text1"/>
          <w:sz w:val="24"/>
        </w:rPr>
        <w:t>を踏まえ、地域包括ケアシステムの深化・推進を図り、高齢者が住み慣れた</w:t>
      </w:r>
      <w:r>
        <w:rPr>
          <w:rFonts w:hint="eastAsia" w:ascii="メイリオ" w:hAnsi="メイリオ" w:eastAsia="メイリオ"/>
          <w:color w:val="000000" w:themeColor="text1"/>
          <w:sz w:val="24"/>
        </w:rPr>
        <w:t>地域で支え合い、安心して暮らし続けられるまちの実現を目指し、以下の基本理念を設定します。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rPr>
          <w:rFonts w:hint="default" w:ascii="メイリオ" w:hAnsi="メイリオ" w:eastAsia="メイリオ"/>
          <w:color w:val="000000" w:themeColor="text1"/>
          <w:sz w:val="36"/>
        </w:rPr>
      </w:pPr>
      <w:r>
        <w:rPr>
          <w:rFonts w:hint="eastAsia"/>
          <w:color w:val="000000" w:themeColor="text1"/>
        </w:rPr>
        <mc:AlternateContent>
          <mc:Choice Requires="wps">
            <w:drawing>
              <wp:anchor distT="0" distB="0" distL="114300" distR="114300" simplePos="0" relativeHeight="20" behindDoc="0" locked="0" layoutInCell="1" hidden="0" allowOverlap="1">
                <wp:simplePos x="0" y="0"/>
                <wp:positionH relativeFrom="column">
                  <wp:posOffset>-111125</wp:posOffset>
                </wp:positionH>
                <wp:positionV relativeFrom="paragraph">
                  <wp:posOffset>359410</wp:posOffset>
                </wp:positionV>
                <wp:extent cx="5614670" cy="1478915"/>
                <wp:effectExtent l="635" t="635" r="29845" b="10795"/>
                <wp:wrapNone/>
                <wp:docPr id="1082" name="フレーム 1"/>
                <a:graphic xmlns:a="http://schemas.openxmlformats.org/drawingml/2006/main">
                  <a:graphicData uri="http://schemas.microsoft.com/office/word/2010/wordprocessingShape">
                    <wps:wsp>
                      <wps:cNvPr id="1082" name="フレーム 1"/>
                      <wps:cNvSpPr/>
                      <wps:spPr>
                        <a:xfrm>
                          <a:off x="0" y="0"/>
                          <a:ext cx="5614670" cy="1478915"/>
                        </a:xfrm>
                        <a:prstGeom prst="frame">
                          <a:avLst>
                            <a:gd name="adj1" fmla="val 5805"/>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レーム 1" style="mso-position-vertical-relative:text;z-index:20;mso-wrap-distance-left:9pt;width:442.1pt;height:116.45pt;mso-position-horizontal-relative:text;position:absolute;margin-left:-8.75pt;margin-top:28.3pt;mso-wrap-distance-bottom:0pt;mso-wrap-distance-right:9pt;mso-wrap-distance-top:0pt;" o:spid="_x0000_s1082" o:allowincell="t" o:allowoverlap="t" filled="t" fillcolor="#4472c4 [3204]" stroked="t" strokecolor="#1c2e52" strokeweight="1pt" o:spt="0" path="m0,0l0,0l21600,0l21600,21600l0,21600xm1254,1254l1254,1254l1254,20346l20346,20346l20346,1254xe">
                <v:path textboxrect="1254,1254,20346,20346" o:connecttype="custom" o:connectlocs="10800,0;0,10800;10800,21600;21600,10800" o:connectangles="270,180,90,0"/>
                <v:fill/>
                <v:stroke linestyle="single" miterlimit="8" joinstyle="round" dashstyle="solid" filltype="solid"/>
                <v:textbox style="layout-flow:horizontal;"/>
                <v:imagedata o:title=""/>
                <w10:wrap type="none" anchorx="text" anchory="text"/>
              </v:shape>
            </w:pict>
          </mc:Fallback>
        </mc:AlternateContent>
      </w:r>
      <w:r>
        <w:rPr>
          <w:rFonts w:hint="eastAsia" w:ascii="メイリオ" w:hAnsi="メイリオ" w:eastAsia="メイリオ"/>
          <w:color w:val="000000" w:themeColor="text1"/>
          <w:sz w:val="36"/>
        </w:rPr>
        <w:t>基本理念</w:t>
      </w:r>
    </w:p>
    <w:p>
      <w:pPr>
        <w:pStyle w:val="0"/>
        <w:snapToGrid w:val="0"/>
        <w:spacing w:line="120" w:lineRule="auto"/>
        <w:rPr>
          <w:rFonts w:hint="default" w:ascii="メイリオ" w:hAnsi="メイリオ" w:eastAsia="メイリオ"/>
          <w:color w:val="000000" w:themeColor="text1"/>
          <w:sz w:val="36"/>
        </w:rPr>
      </w:pPr>
    </w:p>
    <w:p>
      <w:pPr>
        <w:pStyle w:val="0"/>
        <w:snapToGrid w:val="0"/>
        <w:spacing w:line="180" w:lineRule="auto"/>
        <w:ind w:left="105" w:leftChars="50" w:right="214" w:firstLine="313" w:firstLineChars="87"/>
        <w:rPr>
          <w:rFonts w:hint="default" w:ascii="メイリオ" w:hAnsi="メイリオ" w:eastAsia="メイリオ"/>
          <w:color w:val="000000" w:themeColor="text1"/>
          <w:sz w:val="24"/>
        </w:rPr>
      </w:pPr>
      <w:bookmarkStart w:id="25" w:name="_Hlk152512800"/>
      <w:r>
        <w:rPr>
          <w:rFonts w:hint="eastAsia" w:ascii="メイリオ" w:hAnsi="メイリオ" w:eastAsia="メイリオ"/>
          <w:color w:val="000000" w:themeColor="text1"/>
          <w:sz w:val="36"/>
        </w:rPr>
        <w:t>高齢者が住み慣れた地域で自分らしい生活を続けることができ、高齢者一人ひとりのニーズに対して手が届くまちづくり</w:t>
      </w:r>
      <w:bookmarkEnd w:id="25"/>
      <w:r>
        <w:rPr>
          <w:rFonts w:hint="default" w:ascii="メイリオ" w:hAnsi="メイリオ" w:eastAsia="メイリオ"/>
          <w:color w:val="000000" w:themeColor="text1"/>
          <w:sz w:val="24"/>
        </w:rPr>
        <w:br w:type="page"/>
      </w:r>
    </w:p>
    <w:p>
      <w:pPr>
        <w:pStyle w:val="38"/>
        <w:rPr>
          <w:rFonts w:hint="default"/>
          <w:color w:val="000000" w:themeColor="text1"/>
        </w:rPr>
      </w:pPr>
      <w:bookmarkStart w:id="26" w:name="_Toc154129932"/>
      <w:r>
        <w:rPr>
          <w:rFonts w:hint="eastAsia"/>
          <w:color w:val="000000" w:themeColor="text1"/>
        </w:rPr>
        <w:t>第２節　基本目標</w:t>
      </w:r>
      <w:bookmarkEnd w:id="26"/>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基本理念及び第８期計画における課題や町</w:t>
      </w:r>
      <w:r>
        <w:rPr>
          <w:rFonts w:hint="default" w:ascii="メイリオ" w:hAnsi="メイリオ" w:eastAsia="メイリオ"/>
          <w:color w:val="000000" w:themeColor="text1"/>
          <w:sz w:val="24"/>
        </w:rPr>
        <w:t>民のニーズを踏まえながら、重点課題</w:t>
      </w:r>
      <w:r>
        <w:rPr>
          <w:rFonts w:hint="eastAsia" w:ascii="メイリオ" w:hAnsi="メイリオ" w:eastAsia="メイリオ"/>
          <w:color w:val="000000" w:themeColor="text1"/>
          <w:sz w:val="24"/>
        </w:rPr>
        <w:t>への</w:t>
      </w:r>
      <w:r>
        <w:rPr>
          <w:rFonts w:hint="default" w:ascii="メイリオ" w:hAnsi="メイリオ" w:eastAsia="メイリオ"/>
          <w:color w:val="000000" w:themeColor="text1"/>
          <w:sz w:val="24"/>
        </w:rPr>
        <w:t>取り組みを行うとともに、第</w:t>
      </w:r>
      <w:r>
        <w:rPr>
          <w:rFonts w:hint="eastAsia" w:ascii="メイリオ" w:hAnsi="メイリオ" w:eastAsia="メイリオ"/>
          <w:color w:val="000000" w:themeColor="text1"/>
          <w:sz w:val="24"/>
        </w:rPr>
        <w:t>９</w:t>
      </w:r>
      <w:r>
        <w:rPr>
          <w:rFonts w:hint="default" w:ascii="メイリオ" w:hAnsi="メイリオ" w:eastAsia="メイリオ"/>
          <w:color w:val="000000" w:themeColor="text1"/>
          <w:sz w:val="24"/>
        </w:rPr>
        <w:t>期計画における地域包括ケアシステムのさらな</w:t>
      </w:r>
      <w:r>
        <w:rPr>
          <w:rFonts w:hint="eastAsia" w:ascii="メイリオ" w:hAnsi="メイリオ" w:eastAsia="メイリオ"/>
          <w:color w:val="000000" w:themeColor="text1"/>
          <w:sz w:val="24"/>
        </w:rPr>
        <w:t>る充実に向け、次に掲げる４つの基本目標を設定し、施策を推進していきます。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2" behindDoc="0" locked="0" layoutInCell="1" hidden="0" allowOverlap="1">
                <wp:simplePos x="0" y="0"/>
                <wp:positionH relativeFrom="column">
                  <wp:posOffset>-114935</wp:posOffset>
                </wp:positionH>
                <wp:positionV relativeFrom="paragraph">
                  <wp:posOffset>222885</wp:posOffset>
                </wp:positionV>
                <wp:extent cx="5526405" cy="814705"/>
                <wp:effectExtent l="635" t="635" r="29845" b="10795"/>
                <wp:wrapNone/>
                <wp:docPr id="1083" name="フレーム 2"/>
                <a:graphic xmlns:a="http://schemas.openxmlformats.org/drawingml/2006/main">
                  <a:graphicData uri="http://schemas.microsoft.com/office/word/2010/wordprocessingShape">
                    <wps:wsp>
                      <wps:cNvPr id="1083" name="フレーム 2"/>
                      <wps:cNvSpPr/>
                      <wps:spPr>
                        <a:xfrm>
                          <a:off x="0" y="0"/>
                          <a:ext cx="5526405" cy="814705"/>
                        </a:xfrm>
                        <a:prstGeom prst="frame">
                          <a:avLst>
                            <a:gd name="adj1" fmla="val 7679"/>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レーム 2" style="mso-position-vertical-relative:text;z-index:22;mso-wrap-distance-left:9pt;width:435.15pt;height:64.150000000000006pt;mso-position-horizontal-relative:text;position:absolute;margin-left:-9.0500000000000007pt;margin-top:17.55pt;mso-wrap-distance-bottom:0pt;mso-wrap-distance-right:9pt;mso-wrap-distance-top:0pt;" o:spid="_x0000_s1083" o:allowincell="t" o:allowoverlap="t" filled="t" fillcolor="#4472c4 [3204]" stroked="t" strokecolor="#1c2e52" strokeweight="1pt" o:spt="0" path="m0,0l0,0l21600,0l21600,21600l0,21600xm1659,1659l1659,1659l1659,19941l19941,19941l19941,1659xe">
                <v:path textboxrect="1659,1659,19942,19942" o:connecttype="custom" o:connectlocs="10800,0;0,10800;10800,21600;21600,10800" o:connectangles="270,180,90,0"/>
                <v:fill/>
                <v:stroke linestyle="single" miterlimit="8" joinstyle="round" dashstyle="solid" filltype="solid"/>
                <v:textbox style="layout-flow:horizontal;"/>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基本目標１</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住み慣れた環境で暮らし続けることができる体制の構築</w:t>
      </w:r>
    </w:p>
    <w:p>
      <w:pPr>
        <w:pStyle w:val="0"/>
        <w:widowControl w:val="1"/>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要介護認定の有無に関わ</w:t>
      </w:r>
      <w:r>
        <w:rPr>
          <w:rFonts w:hint="default" w:ascii="メイリオ" w:hAnsi="メイリオ" w:eastAsia="メイリオ"/>
          <w:color w:val="000000" w:themeColor="text1"/>
          <w:sz w:val="24"/>
        </w:rPr>
        <w:t>らず</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、健康に不安がある高齢者、ひとり暮らし高齢者な</w:t>
      </w:r>
      <w:r>
        <w:rPr>
          <w:rFonts w:hint="eastAsia" w:ascii="メイリオ" w:hAnsi="メイリオ" w:eastAsia="メイリオ"/>
          <w:color w:val="000000" w:themeColor="text1"/>
          <w:sz w:val="24"/>
        </w:rPr>
        <w:t>ど、日常生活を送る</w:t>
      </w:r>
      <w:r>
        <w:rPr>
          <w:rFonts w:hint="default" w:ascii="メイリオ" w:hAnsi="メイリオ" w:eastAsia="メイリオ"/>
          <w:color w:val="000000" w:themeColor="text1"/>
          <w:sz w:val="24"/>
        </w:rPr>
        <w:t>中で何らかの支援が必要とされる高齢者に対して、地域での自立</w:t>
      </w:r>
      <w:r>
        <w:rPr>
          <w:rFonts w:hint="eastAsia" w:ascii="メイリオ" w:hAnsi="メイリオ" w:eastAsia="メイリオ"/>
          <w:color w:val="000000" w:themeColor="text1"/>
          <w:sz w:val="24"/>
        </w:rPr>
        <w:t>した生活を送るためのサービスが必要です。高齢者の相談支援、介護予防のケアマネジメント等、地域包括ケアシステムの中核を担う</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地域包括支援センターの機能強化</w:t>
      </w:r>
      <w:r>
        <w:rPr>
          <w:rFonts w:hint="eastAsia" w:ascii="メイリオ" w:hAnsi="メイリオ" w:eastAsia="メイリオ"/>
          <w:color w:val="000000" w:themeColor="text1"/>
          <w:sz w:val="24"/>
        </w:rPr>
        <w:t>を図ります。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地域包括ケアシステムの推進には、医療関係者と介護関係者の連携が重要となります。今後、住み慣れた自宅で療養しながらでも生活を送ることができるよう、関係機関が連携し、在宅医療・介護を一体的に提供できる体制を構築するため、医療と介護の連携に向けた各種取り組みを推進し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そのほか、高齢者の多様なニーズに合った住まい方への支援や、要介護認定者向けに介護サービスの基盤整備を推進するほか、介護人材の確保・定着を図るための研修の受講や資格取得に</w:t>
      </w:r>
      <w:r>
        <w:rPr>
          <w:rFonts w:hint="default" w:ascii="メイリオ" w:hAnsi="メイリオ" w:eastAsia="メイリオ"/>
          <w:color w:val="000000" w:themeColor="text1"/>
          <w:sz w:val="24"/>
        </w:rPr>
        <w:t>係る支援を行います。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ind w:firstLine="210" w:firstLineChars="100"/>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3" behindDoc="0" locked="0" layoutInCell="1" hidden="0" allowOverlap="1">
                <wp:simplePos x="0" y="0"/>
                <wp:positionH relativeFrom="column">
                  <wp:posOffset>-111760</wp:posOffset>
                </wp:positionH>
                <wp:positionV relativeFrom="paragraph">
                  <wp:posOffset>224790</wp:posOffset>
                </wp:positionV>
                <wp:extent cx="5545455" cy="751205"/>
                <wp:effectExtent l="635" t="635" r="29845" b="10795"/>
                <wp:wrapNone/>
                <wp:docPr id="1084" name="フレーム 2"/>
                <a:graphic xmlns:a="http://schemas.openxmlformats.org/drawingml/2006/main">
                  <a:graphicData uri="http://schemas.microsoft.com/office/word/2010/wordprocessingShape">
                    <wps:wsp>
                      <wps:cNvPr id="1084" name="フレーム 2"/>
                      <wps:cNvSpPr/>
                      <wps:spPr>
                        <a:xfrm>
                          <a:off x="0" y="0"/>
                          <a:ext cx="5545455" cy="751205"/>
                        </a:xfrm>
                        <a:prstGeom prst="frame">
                          <a:avLst>
                            <a:gd name="adj1" fmla="val 7679"/>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レーム 2" style="mso-position-vertical-relative:text;z-index:23;mso-wrap-distance-left:9pt;width:436.65pt;height:59.15pt;mso-position-horizontal-relative:text;position:absolute;margin-left:-8.8000000000000007pt;margin-top:17.7pt;mso-wrap-distance-bottom:0pt;mso-wrap-distance-right:9pt;mso-wrap-distance-top:0pt;" o:spid="_x0000_s1084" o:allowincell="t" o:allowoverlap="t" filled="t" fillcolor="#4472c4 [3204]" stroked="t" strokecolor="#1c2e52" strokeweight="1pt" o:spt="0" path="m0,0l0,0l21600,0l21600,21600l0,21600xm1659,1659l1659,1659l1659,19941l19941,19941l19941,1659xe">
                <v:path textboxrect="1659,1659,19942,19942" o:connecttype="custom" o:connectlocs="10800,0;0,10800;10800,21600;21600,10800" o:connectangles="270,180,90,0"/>
                <v:fill/>
                <v:stroke linestyle="single" miterlimit="8" joinstyle="round" dashstyle="solid" filltype="solid"/>
                <v:textbox style="layout-flow:horizontal;"/>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基本目標２</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日々の生活に楽しみが持て、つながり</w:t>
      </w:r>
      <w:r>
        <w:rPr>
          <w:rFonts w:hint="default" w:ascii="メイリオ" w:hAnsi="メイリオ" w:eastAsia="メイリオ"/>
          <w:color w:val="000000" w:themeColor="text1"/>
          <w:sz w:val="24"/>
        </w:rPr>
        <w:t>や支え合いを大切にできる地域</w:t>
      </w:r>
      <w:r>
        <w:rPr>
          <w:rFonts w:hint="eastAsia" w:ascii="メイリオ" w:hAnsi="メイリオ" w:eastAsia="メイリオ"/>
          <w:color w:val="000000" w:themeColor="text1"/>
          <w:sz w:val="24"/>
        </w:rPr>
        <w:t>づくり</w:t>
      </w:r>
    </w:p>
    <w:p>
      <w:pPr>
        <w:pStyle w:val="0"/>
        <w:widowControl w:val="1"/>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高齢者の生活を支えるためには介護保険制度による支援だけではなく、見守りや介護者の支援など、介護保険制度以外の支援の充実が欠かせません。</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町民一人ひとり</w:t>
      </w:r>
      <w:r>
        <w:rPr>
          <w:rFonts w:hint="eastAsia" w:ascii="メイリオ" w:hAnsi="メイリオ" w:eastAsia="メイリオ"/>
          <w:color w:val="000000" w:themeColor="text1"/>
          <w:sz w:val="24"/>
        </w:rPr>
        <w:t>が「お互いに助け合い、支え合う」という意識を醸成し、地域で支え合う仕組みづくりを推進します。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また、高齢者が地域社会において自立した生活を営むためには、生活機能の維持だけでなく、生きがいを持って日常生</w:t>
      </w:r>
      <w:r>
        <w:rPr>
          <w:rFonts w:hint="default" w:ascii="メイリオ" w:hAnsi="メイリオ" w:eastAsia="メイリオ"/>
          <w:color w:val="000000" w:themeColor="text1"/>
          <w:sz w:val="24"/>
        </w:rPr>
        <w:t>活を過ごすことが重要です。そのため、高齢者が</w:t>
      </w:r>
      <w:r>
        <w:rPr>
          <w:rFonts w:hint="eastAsia" w:ascii="メイリオ" w:hAnsi="メイリオ" w:eastAsia="メイリオ"/>
          <w:color w:val="000000" w:themeColor="text1"/>
          <w:sz w:val="24"/>
        </w:rPr>
        <w:t>趣味や特技、</w:t>
      </w:r>
      <w:r>
        <w:rPr>
          <w:rFonts w:hint="default" w:ascii="メイリオ" w:hAnsi="メイリオ" w:eastAsia="メイリオ"/>
          <w:color w:val="000000" w:themeColor="text1"/>
          <w:sz w:val="24"/>
        </w:rPr>
        <w:t>ボランティア</w:t>
      </w:r>
      <w:r>
        <w:rPr>
          <w:rFonts w:hint="default" w:ascii="メイリオ" w:hAnsi="メイリオ" w:eastAsia="メイリオ"/>
          <w:strike w:val="0"/>
          <w:dstrike w:val="1"/>
          <w:color w:val="000000" w:themeColor="text1"/>
          <w:sz w:val="24"/>
        </w:rPr>
        <w:t xml:space="preserve"> </w:t>
      </w:r>
      <w:r>
        <w:rPr>
          <w:rFonts w:hint="default" w:ascii="メイリオ" w:hAnsi="メイリオ" w:eastAsia="メイリオ"/>
          <w:color w:val="000000" w:themeColor="text1"/>
          <w:sz w:val="24"/>
        </w:rPr>
        <w:t>活動等を通じて、社会貢献できる機会の拡充が求められて</w:t>
      </w:r>
      <w:r>
        <w:rPr>
          <w:rFonts w:hint="eastAsia" w:ascii="メイリオ" w:hAnsi="メイリオ" w:eastAsia="メイリオ"/>
          <w:color w:val="000000" w:themeColor="text1"/>
          <w:sz w:val="24"/>
        </w:rPr>
        <w:t>います。</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高齢者がそれぞれの知識や経験を生かし、社会的役割や生きがいを持って活</w:t>
      </w:r>
      <w:r>
        <w:rPr>
          <w:rFonts w:hint="eastAsia" w:ascii="メイリオ" w:hAnsi="メイリオ" w:eastAsia="メイリオ"/>
          <w:color w:val="000000" w:themeColor="text1"/>
          <w:sz w:val="24"/>
        </w:rPr>
        <w:t>動・活躍できるよう、就業機会の確保等に努め、社会参加を促進します。</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高齢者が生</w:t>
      </w:r>
      <w:r>
        <w:rPr>
          <w:rFonts w:hint="eastAsia" w:ascii="メイリオ" w:hAnsi="メイリオ" w:eastAsia="メイリオ"/>
          <w:color w:val="000000" w:themeColor="text1"/>
          <w:sz w:val="24"/>
        </w:rPr>
        <w:t>活支援サービスの担い手になることで、高齢者の日常生活上の支援体制の充実と高齢者の社会参加の推進を一体的に図り、</w:t>
      </w:r>
      <w:r>
        <w:rPr>
          <w:rFonts w:hint="default" w:ascii="メイリオ" w:hAnsi="メイリオ" w:eastAsia="メイリオ"/>
          <w:color w:val="000000" w:themeColor="text1"/>
          <w:sz w:val="24"/>
        </w:rPr>
        <w:t>あわせて、災害等非常時における支援体制の</w:t>
      </w:r>
      <w:r>
        <w:rPr>
          <w:rFonts w:hint="eastAsia" w:ascii="メイリオ" w:hAnsi="メイリオ" w:eastAsia="メイリオ"/>
          <w:color w:val="000000" w:themeColor="text1"/>
          <w:sz w:val="24"/>
        </w:rPr>
        <w:t>強化等を通じ、地域での見守り体制や高齢者にわかりやすい情報発信のあり方を検討します。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4" behindDoc="0" locked="0" layoutInCell="1" hidden="0" allowOverlap="1">
                <wp:simplePos x="0" y="0"/>
                <wp:positionH relativeFrom="margin">
                  <wp:align>right</wp:align>
                </wp:positionH>
                <wp:positionV relativeFrom="paragraph">
                  <wp:posOffset>225425</wp:posOffset>
                </wp:positionV>
                <wp:extent cx="5478780" cy="751205"/>
                <wp:effectExtent l="635" t="635" r="29845" b="10795"/>
                <wp:wrapNone/>
                <wp:docPr id="1085" name="フレーム 2"/>
                <a:graphic xmlns:a="http://schemas.openxmlformats.org/drawingml/2006/main">
                  <a:graphicData uri="http://schemas.microsoft.com/office/word/2010/wordprocessingShape">
                    <wps:wsp>
                      <wps:cNvPr id="1085" name="フレーム 2"/>
                      <wps:cNvSpPr/>
                      <wps:spPr>
                        <a:xfrm>
                          <a:off x="0" y="0"/>
                          <a:ext cx="5478780" cy="751205"/>
                        </a:xfrm>
                        <a:prstGeom prst="frame">
                          <a:avLst>
                            <a:gd name="adj1" fmla="val 7679"/>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レーム 2" style="mso-position-vertical-relative:text;z-index:24;mso-wrap-distance-left:9pt;width:431.4pt;height:59.15pt;mso-position-horizontal-relative:margin;position:absolute;mso-position-horizontal:right;margin-top:17.75pt;mso-wrap-distance-bottom:0pt;mso-wrap-distance-right:9pt;mso-wrap-distance-top:0pt;" o:spid="_x0000_s1085" o:allowincell="t" o:allowoverlap="t" filled="t" fillcolor="#4472c4 [3204]" stroked="t" strokecolor="#1c2e52" strokeweight="1pt" o:spt="0" path="m0,0l0,0l21600,0l21600,21600l0,21600xm1659,1659l1659,1659l1659,19941l19941,19941l19941,1659xe">
                <v:path textboxrect="1659,1659,19942,19942" o:connecttype="custom" o:connectlocs="10800,0;0,10800;10800,21600;21600,10800" o:connectangles="270,180,90,0"/>
                <v:fill/>
                <v:stroke linestyle="single" miterlimit="8" joinstyle="round" dashstyle="solid" filltype="solid"/>
                <v:textbox style="layout-flow:horizontal;"/>
                <v:imagedata o:title=""/>
                <w10:wrap type="none" anchorx="margin"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基本目標３</w:t>
      </w:r>
    </w:p>
    <w:p>
      <w:pPr>
        <w:pStyle w:val="0"/>
        <w:widowControl w:val="1"/>
        <w:ind w:firstLine="240" w:firstLineChars="100"/>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介護予防と重症化予防、自立支援の推進</w:t>
      </w:r>
    </w:p>
    <w:p>
      <w:pPr>
        <w:pStyle w:val="0"/>
        <w:widowControl w:val="1"/>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平均寿命が年々過去最高を更新する中で、加齢や生活習慣を原因とする身体機能の衰えや生活習慣病を予防するため、</w:t>
      </w:r>
      <w:r>
        <w:rPr>
          <w:rFonts w:hint="default" w:ascii="メイリオ" w:hAnsi="メイリオ" w:eastAsia="メイリオ"/>
          <w:color w:val="000000" w:themeColor="text1"/>
          <w:sz w:val="24"/>
        </w:rPr>
        <w:t xml:space="preserve"> </w:t>
      </w:r>
      <w:r>
        <w:rPr>
          <w:rFonts w:hint="default" w:ascii="メイリオ" w:hAnsi="メイリオ" w:eastAsia="メイリオ"/>
          <w:color w:val="000000" w:themeColor="text1"/>
          <w:sz w:val="24"/>
        </w:rPr>
        <w:t>町民一人ひとりが、自らの健康に関心を持ち、</w:t>
      </w:r>
      <w:r>
        <w:rPr>
          <w:rFonts w:hint="eastAsia" w:ascii="メイリオ" w:hAnsi="メイリオ" w:eastAsia="メイリオ"/>
          <w:color w:val="000000" w:themeColor="text1"/>
          <w:sz w:val="24"/>
        </w:rPr>
        <w:t>定期的な健康診査等の受診や年齢等に応じた健康づくりを継続して取り組めるよう支援を行います。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また、地域住民や医療・介護関係者、民間事業者等と連携を図りながら、介護予防・日常生活支援総合事業のさらなる</w:t>
      </w:r>
      <w:r>
        <w:rPr>
          <w:rFonts w:hint="default" w:ascii="メイリオ" w:hAnsi="メイリオ" w:eastAsia="メイリオ"/>
          <w:color w:val="000000" w:themeColor="text1"/>
          <w:sz w:val="24"/>
        </w:rPr>
        <w:t>充実や自立支援のための理学療法士との連携を通</w:t>
      </w:r>
      <w:r>
        <w:rPr>
          <w:rFonts w:hint="eastAsia" w:ascii="メイリオ" w:hAnsi="メイリオ" w:eastAsia="メイリオ"/>
          <w:color w:val="000000" w:themeColor="text1"/>
          <w:sz w:val="24"/>
        </w:rPr>
        <w:t>じ、高齢者の自立支援、介護予防・重症化予防に向けた包括的な取り組みを行います。</w:t>
      </w:r>
    </w:p>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5" behindDoc="0" locked="0" layoutInCell="1" hidden="0" allowOverlap="1">
                <wp:simplePos x="0" y="0"/>
                <wp:positionH relativeFrom="column">
                  <wp:posOffset>-112395</wp:posOffset>
                </wp:positionH>
                <wp:positionV relativeFrom="paragraph">
                  <wp:posOffset>197485</wp:posOffset>
                </wp:positionV>
                <wp:extent cx="5526405" cy="751205"/>
                <wp:effectExtent l="635" t="635" r="29845" b="10795"/>
                <wp:wrapNone/>
                <wp:docPr id="1086" name="フレーム 2"/>
                <a:graphic xmlns:a="http://schemas.openxmlformats.org/drawingml/2006/main">
                  <a:graphicData uri="http://schemas.microsoft.com/office/word/2010/wordprocessingShape">
                    <wps:wsp>
                      <wps:cNvPr id="1086" name="フレーム 2"/>
                      <wps:cNvSpPr/>
                      <wps:spPr>
                        <a:xfrm>
                          <a:off x="0" y="0"/>
                          <a:ext cx="5526405" cy="751205"/>
                        </a:xfrm>
                        <a:prstGeom prst="frame">
                          <a:avLst>
                            <a:gd name="adj1" fmla="val 7679"/>
                          </a:avLst>
                        </a:prstGeom>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フレーム 2" style="mso-position-vertical-relative:text;z-index:25;mso-wrap-distance-left:9pt;width:435.15pt;height:59.15pt;mso-position-horizontal-relative:text;position:absolute;margin-left:-8.85pt;margin-top:15.55pt;mso-wrap-distance-bottom:0pt;mso-wrap-distance-right:9pt;mso-wrap-distance-top:0pt;" o:spid="_x0000_s1086" o:allowincell="t" o:allowoverlap="t" filled="t" fillcolor="#4472c4 [3204]" stroked="t" strokecolor="#1c2e52" strokeweight="1pt" o:spt="0" path="m0,0l0,0l21600,0l21600,21600l0,21600xm1659,1659l1659,1659l1659,19941l19941,19941l19941,1659xe">
                <v:path textboxrect="1659,1659,19942,19942" o:connecttype="custom" o:connectlocs="10800,0;0,10800;10800,21600;21600,10800" o:connectangles="270,180,90,0"/>
                <v:fill/>
                <v:stroke linestyle="single" miterlimit="8" joinstyle="round" dashstyle="solid" filltype="solid"/>
                <v:textbox style="layout-flow:horizontal;"/>
                <v:imagedata o:title=""/>
                <w10:wrap type="none" anchorx="text" anchory="text"/>
              </v:shape>
            </w:pict>
          </mc:Fallback>
        </mc:AlternateConten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基本目標４</w:t>
      </w:r>
      <w:r>
        <w:rPr>
          <w:rFonts w:hint="default" w:ascii="メイリオ" w:hAnsi="メイリオ" w:eastAsia="メイリオ"/>
          <w:color w:val="000000" w:themeColor="text1"/>
          <w:sz w:val="24"/>
        </w:rPr>
        <w:t xml:space="preserve"> </w:t>
      </w:r>
    </w:p>
    <w:p>
      <w:pPr>
        <w:pStyle w:val="0"/>
        <w:widowControl w:val="1"/>
        <w:ind w:firstLine="240" w:firstLineChars="100"/>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高齢者の尊厳を大切にした支援や権利擁護の推進</w:t>
      </w:r>
    </w:p>
    <w:p>
      <w:pPr>
        <w:pStyle w:val="0"/>
        <w:widowControl w:val="1"/>
        <w:jc w:val="left"/>
        <w:rPr>
          <w:rFonts w:hint="default" w:ascii="メイリオ" w:hAnsi="メイリオ" w:eastAsia="メイリオ"/>
          <w:color w:val="000000" w:themeColor="text1"/>
          <w:sz w:val="24"/>
        </w:rPr>
      </w:pP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高齢者が認知症になっても、住み慣れた地域で安心して生活できる環境づくりを進めるとともに、認知症に対する正しい知識の普及と地域における理解と見守りを充実します。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また、成年後見制度の</w:t>
      </w:r>
      <w:r>
        <w:rPr>
          <w:rFonts w:hint="default" w:ascii="メイリオ" w:hAnsi="メイリオ" w:eastAsia="メイリオ"/>
          <w:color w:val="000000" w:themeColor="text1"/>
          <w:sz w:val="24"/>
        </w:rPr>
        <w:t>普及・啓発を図り、権利擁護を必要とする対象者が利用でき</w:t>
      </w:r>
      <w:r>
        <w:rPr>
          <w:rFonts w:hint="eastAsia" w:ascii="メイリオ" w:hAnsi="メイリオ" w:eastAsia="メイリオ"/>
          <w:color w:val="000000" w:themeColor="text1"/>
          <w:sz w:val="24"/>
        </w:rPr>
        <w:t>るよう推進します。</w:t>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27" w:name="_Toc154129933"/>
      <w:r>
        <w:rPr>
          <w:rFonts w:hint="eastAsia"/>
          <w:color w:val="000000" w:themeColor="text1"/>
        </w:rPr>
        <w:t>第３節　日常生活圏域の設定</w:t>
      </w:r>
      <w:bookmarkEnd w:id="27"/>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日常生活圏域とは、高齢者が地域において安心して日常生活を営むことができるようにするために、地理的条件、人口、交通事情その他社会的条件、介護給付等対象サービスを提供するための施設の整備状況その他の条件を総合的に勘案して定める圏域です。これは市町村が高齢者福祉施策や介護保険事業という公的サービスの提供を展開していく区域となり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本町では、役場が所在する</w:t>
      </w:r>
      <w:r>
        <w:rPr>
          <w:rFonts w:hint="default" w:ascii="メイリオ" w:hAnsi="メイリオ" w:eastAsia="メイリオ"/>
          <w:color w:val="000000" w:themeColor="text1"/>
          <w:sz w:val="24"/>
        </w:rPr>
        <w:t>市街地を中心として住民の生活を支えるサービスが展</w:t>
      </w:r>
      <w:r>
        <w:rPr>
          <w:rFonts w:hint="eastAsia" w:ascii="メイリオ" w:hAnsi="メイリオ" w:eastAsia="メイリオ"/>
          <w:color w:val="000000" w:themeColor="text1"/>
          <w:sz w:val="24"/>
        </w:rPr>
        <w:t>開されていることから、町全体を１つの日常生活圏域として設定します。</w:t>
      </w: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28" w:name="_Toc154129934"/>
      <w:r>
        <w:rPr>
          <w:rFonts w:hint="eastAsia"/>
          <w:color w:val="000000" w:themeColor="text1"/>
        </w:rPr>
        <w:t>第４節　施策体系</w:t>
      </w:r>
      <w:bookmarkEnd w:id="28"/>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tbl>
      <w:tblPr>
        <w:tblStyle w:val="64"/>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851"/>
        <w:gridCol w:w="352"/>
        <w:gridCol w:w="352"/>
        <w:gridCol w:w="2981"/>
        <w:gridCol w:w="284"/>
        <w:gridCol w:w="283"/>
        <w:gridCol w:w="3828"/>
      </w:tblGrid>
      <w:tr>
        <w:trPr/>
        <w:tc>
          <w:tcPr>
            <w:tcW w:w="851"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bottom"/>
          </w:tcPr>
          <w:p>
            <w:pPr>
              <w:pStyle w:val="0"/>
              <w:widowControl w:val="1"/>
              <w:snapToGrid w:val="0"/>
              <w:spacing w:line="180" w:lineRule="auto"/>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w:t>
            </w:r>
          </w:p>
          <w:p>
            <w:pPr>
              <w:pStyle w:val="0"/>
              <w:widowControl w:val="1"/>
              <w:snapToGrid w:val="0"/>
              <w:spacing w:line="120" w:lineRule="auto"/>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理念</w:t>
            </w:r>
          </w:p>
        </w:tc>
        <w:tc>
          <w:tcPr>
            <w:tcW w:w="352" w:type="dxa"/>
            <w:vAlign w:val="center"/>
          </w:tcPr>
          <w:p>
            <w:pPr>
              <w:pStyle w:val="0"/>
              <w:widowControl w:val="1"/>
              <w:jc w:val="center"/>
              <w:rPr>
                <w:rFonts w:hint="default" w:ascii="メイリオ" w:hAnsi="メイリオ" w:eastAsia="メイリオ"/>
                <w:color w:val="000000" w:themeColor="text1"/>
                <w:sz w:val="24"/>
              </w:rPr>
            </w:pPr>
          </w:p>
        </w:tc>
        <w:tc>
          <w:tcPr>
            <w:tcW w:w="352" w:type="dxa"/>
            <w:vAlign w:val="center"/>
          </w:tcPr>
          <w:p>
            <w:pPr>
              <w:pStyle w:val="0"/>
              <w:widowControl w:val="1"/>
              <w:jc w:val="center"/>
              <w:rPr>
                <w:rFonts w:hint="default" w:ascii="メイリオ" w:hAnsi="メイリオ" w:eastAsia="メイリオ"/>
                <w:color w:val="000000" w:themeColor="text1"/>
                <w:sz w:val="24"/>
              </w:rPr>
            </w:pPr>
          </w:p>
        </w:tc>
        <w:tc>
          <w:tcPr>
            <w:tcW w:w="2981"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w:t>
            </w:r>
          </w:p>
        </w:tc>
        <w:tc>
          <w:tcPr>
            <w:tcW w:w="284" w:type="dxa"/>
            <w:vAlign w:val="center"/>
          </w:tcPr>
          <w:p>
            <w:pPr>
              <w:pStyle w:val="0"/>
              <w:widowControl w:val="1"/>
              <w:jc w:val="center"/>
              <w:rPr>
                <w:rFonts w:hint="default" w:ascii="メイリオ" w:hAnsi="メイリオ" w:eastAsia="メイリオ"/>
                <w:color w:val="000000" w:themeColor="text1"/>
                <w:sz w:val="24"/>
              </w:rPr>
            </w:pPr>
          </w:p>
        </w:tc>
        <w:tc>
          <w:tcPr>
            <w:tcW w:w="283" w:type="dxa"/>
            <w:vAlign w:val="center"/>
          </w:tcPr>
          <w:p>
            <w:pPr>
              <w:pStyle w:val="0"/>
              <w:widowControl w:val="1"/>
              <w:jc w:val="center"/>
              <w:rPr>
                <w:rFonts w:hint="default" w:ascii="メイリオ" w:hAnsi="メイリオ" w:eastAsia="メイリオ"/>
                <w:color w:val="000000" w:themeColor="text1"/>
                <w:sz w:val="24"/>
              </w:rPr>
            </w:pPr>
          </w:p>
        </w:tc>
        <w:tc>
          <w:tcPr>
            <w:tcW w:w="382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center"/>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施策の方向性</w:t>
            </w:r>
          </w:p>
        </w:tc>
      </w:tr>
      <w:tr>
        <w:trPr>
          <w:trHeight w:val="386" w:hRule="exact"/>
        </w:trPr>
        <w:tc>
          <w:tcPr>
            <w:tcW w:w="851" w:type="dxa"/>
            <w:vMerge w:val="restart"/>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r>
              <w:rPr>
                <w:rFonts w:hint="eastAsia"/>
                <w:color w:val="000000" w:themeColor="text1"/>
              </w:rPr>
              <mc:AlternateContent>
                <mc:Choice Requires="wps">
                  <w:drawing>
                    <wp:anchor distT="0" distB="0" distL="114300" distR="114300" simplePos="0" relativeHeight="26" behindDoc="0" locked="0" layoutInCell="1" hidden="0" allowOverlap="1">
                      <wp:simplePos x="0" y="0"/>
                      <wp:positionH relativeFrom="column">
                        <wp:posOffset>-140335</wp:posOffset>
                      </wp:positionH>
                      <wp:positionV relativeFrom="paragraph">
                        <wp:posOffset>317500</wp:posOffset>
                      </wp:positionV>
                      <wp:extent cx="601980" cy="5991860"/>
                      <wp:effectExtent l="0" t="0" r="635" b="635"/>
                      <wp:wrapNone/>
                      <wp:docPr id="1087" name="テキスト ボックス 1"/>
                      <a:graphic xmlns:a="http://schemas.openxmlformats.org/drawingml/2006/main">
                        <a:graphicData uri="http://schemas.microsoft.com/office/word/2010/wordprocessingShape">
                          <wps:wsp>
                            <wps:cNvPr id="1087" name="テキスト ボックス 1"/>
                            <wps:cNvSpPr txBox="1"/>
                            <wps:spPr>
                              <a:xfrm>
                                <a:off x="0" y="0"/>
                                <a:ext cx="601980" cy="5991860"/>
                              </a:xfrm>
                              <a:prstGeom prst="rect">
                                <a:avLst/>
                              </a:prstGeom>
                              <a:noFill/>
                              <a:ln w="6350">
                                <a:noFill/>
                              </a:ln>
                            </wps:spPr>
                            <wps:txbx>
                              <w:txbxContent>
                                <w:p>
                                  <w:pPr>
                                    <w:pStyle w:val="0"/>
                                    <w:snapToGrid w:val="0"/>
                                    <w:spacing w:line="120" w:lineRule="auto"/>
                                    <w:jc w:val="distribute"/>
                                    <w:rPr>
                                      <w:rFonts w:hint="default" w:ascii="メイリオ" w:hAnsi="メイリオ" w:eastAsia="メイリオ"/>
                                      <w:color w:val="000000" w:themeColor="text1"/>
                                      <w:sz w:val="28"/>
                                    </w:rPr>
                                  </w:pPr>
                                  <w:r>
                                    <w:rPr>
                                      <w:rFonts w:hint="eastAsia" w:ascii="メイリオ" w:hAnsi="メイリオ" w:eastAsia="メイリオ"/>
                                      <w:color w:val="000000" w:themeColor="text1"/>
                                      <w:sz w:val="28"/>
                                    </w:rPr>
                                    <w:t>高齢者が住み慣れた地域で自分らしい生活を続けることがで</w:t>
                                  </w:r>
                                </w:p>
                                <w:p>
                                  <w:pPr>
                                    <w:pStyle w:val="0"/>
                                    <w:snapToGrid w:val="0"/>
                                    <w:spacing w:line="120" w:lineRule="auto"/>
                                    <w:jc w:val="distribute"/>
                                    <w:rPr>
                                      <w:rFonts w:hint="default" w:ascii="メイリオ" w:hAnsi="メイリオ" w:eastAsia="メイリオ"/>
                                      <w:color w:val="000000" w:themeColor="text1"/>
                                      <w:sz w:val="28"/>
                                    </w:rPr>
                                  </w:pPr>
                                  <w:r>
                                    <w:rPr>
                                      <w:rFonts w:hint="eastAsia" w:ascii="メイリオ" w:hAnsi="メイリオ" w:eastAsia="メイリオ"/>
                                      <w:color w:val="000000" w:themeColor="text1"/>
                                      <w:sz w:val="28"/>
                                    </w:rPr>
                                    <w:t>き、高齢者一人ひとりのニーズに対して手が届くまちづくり</w:t>
                                  </w:r>
                                </w:p>
                              </w:txbxContent>
                            </wps:txbx>
                            <wps:bodyPr rot="0" vertOverflow="overflow" horzOverflow="overflow" vert="eaVert"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text;z-index:26;mso-wrap-distance-left:9pt;width:47.4pt;height:471.8pt;mso-position-horizontal-relative:text;position:absolute;margin-left:-11.05pt;margin-top:25pt;mso-wrap-distance-bottom:0pt;mso-wrap-distance-right:9pt;mso-wrap-distance-top:0pt;v-text-anchor:top;" o:spid="_x0000_s1087" o:allowincell="t" o:allowoverlap="t" filled="f" stroked="f" strokeweight="0.5pt" o:spt="202" type="#_x0000_t202">
                      <v:fill/>
                      <v:textbox style="layout-flow:vertical-ideographic;">
                        <w:txbxContent>
                          <w:p>
                            <w:pPr>
                              <w:pStyle w:val="0"/>
                              <w:snapToGrid w:val="0"/>
                              <w:spacing w:line="120" w:lineRule="auto"/>
                              <w:jc w:val="distribute"/>
                              <w:rPr>
                                <w:rFonts w:hint="default" w:ascii="メイリオ" w:hAnsi="メイリオ" w:eastAsia="メイリオ"/>
                                <w:color w:val="000000" w:themeColor="text1"/>
                                <w:sz w:val="28"/>
                              </w:rPr>
                            </w:pPr>
                            <w:r>
                              <w:rPr>
                                <w:rFonts w:hint="eastAsia" w:ascii="メイリオ" w:hAnsi="メイリオ" w:eastAsia="メイリオ"/>
                                <w:color w:val="000000" w:themeColor="text1"/>
                                <w:sz w:val="28"/>
                              </w:rPr>
                              <w:t>高齢者が住み慣れた地域で自分らしい生活を続けることがで</w:t>
                            </w:r>
                          </w:p>
                          <w:p>
                            <w:pPr>
                              <w:pStyle w:val="0"/>
                              <w:snapToGrid w:val="0"/>
                              <w:spacing w:line="120" w:lineRule="auto"/>
                              <w:jc w:val="distribute"/>
                              <w:rPr>
                                <w:rFonts w:hint="default" w:ascii="メイリオ" w:hAnsi="メイリオ" w:eastAsia="メイリオ"/>
                                <w:color w:val="000000" w:themeColor="text1"/>
                                <w:sz w:val="28"/>
                              </w:rPr>
                            </w:pPr>
                            <w:r>
                              <w:rPr>
                                <w:rFonts w:hint="eastAsia" w:ascii="メイリオ" w:hAnsi="メイリオ" w:eastAsia="メイリオ"/>
                                <w:color w:val="000000" w:themeColor="text1"/>
                                <w:sz w:val="28"/>
                              </w:rPr>
                              <w:t>き、高齢者一人ひとりのニーズに対して手が届くまちづくり</w:t>
                            </w:r>
                          </w:p>
                        </w:txbxContent>
                      </v:textbox>
                      <v:imagedata o:title=""/>
                      <w10:wrap type="none" anchorx="text" anchory="text"/>
                    </v:shape>
                  </w:pict>
                </mc:Fallback>
              </mc:AlternateContent>
            </w: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基本目標１</w:t>
            </w: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①地域包括ケアシステムの構築を進める地域</w:t>
            </w:r>
          </w:p>
          <w:p>
            <w:pPr>
              <w:pStyle w:val="0"/>
              <w:widowControl w:val="1"/>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づくり</w:t>
            </w:r>
          </w:p>
        </w:tc>
      </w:tr>
      <w:tr>
        <w:trPr>
          <w:trHeight w:val="43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住み慣れた環境で暮らし続けることができる体制の構築</w:t>
            </w: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25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ind w:left="180" w:hanging="180" w:hanging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②地域包括ケアシステムを支える人材の確保および介護生産性の向上の推進</w:t>
            </w:r>
          </w:p>
        </w:tc>
      </w:tr>
      <w:tr>
        <w:trPr>
          <w:trHeight w:val="41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91"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③介護給付等対象サービスの充実</w:t>
            </w:r>
          </w:p>
        </w:tc>
      </w:tr>
      <w:tr>
        <w:trPr>
          <w:trHeight w:val="164"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9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④高齢者の日常生活を支える体制の整備</w:t>
            </w:r>
          </w:p>
        </w:tc>
      </w:tr>
      <w:tr>
        <w:trPr>
          <w:trHeight w:val="15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92" w:hRule="atLeas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restart"/>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vMerge w:val="restart"/>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8"/>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8"/>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8"/>
              </w:rPr>
            </w:pPr>
          </w:p>
        </w:tc>
      </w:tr>
      <w:tr>
        <w:trPr>
          <w:trHeight w:val="235" w:hRule="atLeas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vMerge w:val="restart"/>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⑤在宅医療・介護連携を図るための体制の</w:t>
            </w:r>
          </w:p>
          <w:p>
            <w:pPr>
              <w:pStyle w:val="0"/>
              <w:widowControl w:val="1"/>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整備</w:t>
            </w:r>
          </w:p>
        </w:tc>
      </w:tr>
      <w:tr>
        <w:trPr>
          <w:trHeight w:val="235"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4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235" w:hRule="atLeas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vMerge w:val="restart"/>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⑥高齢者の住まいの安定的な確保</w:t>
            </w:r>
          </w:p>
        </w:tc>
      </w:tr>
      <w:tr>
        <w:trPr>
          <w:trHeight w:val="214" w:hRule="atLeas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3"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21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981"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4" w:type="dxa"/>
            <w:vAlign w:val="center"/>
          </w:tcPr>
          <w:p>
            <w:pPr>
              <w:pStyle w:val="0"/>
              <w:widowControl w:val="1"/>
              <w:jc w:val="left"/>
              <w:rPr>
                <w:rFonts w:hint="default" w:ascii="メイリオ" w:hAnsi="メイリオ" w:eastAsia="メイリオ"/>
                <w:color w:val="000000" w:themeColor="text1"/>
                <w:sz w:val="24"/>
              </w:rPr>
            </w:pPr>
          </w:p>
        </w:tc>
        <w:tc>
          <w:tcPr>
            <w:tcW w:w="283" w:type="dxa"/>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79"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基本目標２</w:t>
            </w: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①交流・社会参加の推進</w:t>
            </w:r>
          </w:p>
        </w:tc>
      </w:tr>
      <w:tr>
        <w:trPr>
          <w:trHeight w:val="189"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tc>
        <w:tc>
          <w:tcPr>
            <w:tcW w:w="2981"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日々の生活に楽しみが持て、つながりや支え合いを大切にできる地域づくり</w:t>
            </w: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9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②ボランティアの推進</w:t>
            </w:r>
          </w:p>
        </w:tc>
      </w:tr>
      <w:tr>
        <w:trPr>
          <w:trHeight w:val="158"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408"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③災害や感染症対策に関わる体制整備</w:t>
            </w:r>
          </w:p>
        </w:tc>
      </w:tr>
      <w:tr>
        <w:trPr>
          <w:trHeight w:val="287"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4" w:type="dxa"/>
            <w:vAlign w:val="center"/>
          </w:tcPr>
          <w:p>
            <w:pPr>
              <w:pStyle w:val="0"/>
              <w:widowControl w:val="1"/>
              <w:jc w:val="left"/>
              <w:rPr>
                <w:rFonts w:hint="default" w:ascii="メイリオ" w:hAnsi="メイリオ" w:eastAsia="メイリオ"/>
                <w:color w:val="000000" w:themeColor="text1"/>
                <w:sz w:val="24"/>
              </w:rPr>
            </w:pPr>
          </w:p>
        </w:tc>
        <w:tc>
          <w:tcPr>
            <w:tcW w:w="283" w:type="dxa"/>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93"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基本目標３</w:t>
            </w: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①重症化防止と自立支援</w:t>
            </w:r>
          </w:p>
        </w:tc>
      </w:tr>
      <w:tr>
        <w:trPr>
          <w:trHeight w:val="266"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介護予防と重症化予防、自立支援の推進</w:t>
            </w: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38"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391"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②介護予防と健康づくり</w:t>
            </w:r>
          </w:p>
        </w:tc>
      </w:tr>
      <w:tr>
        <w:trPr>
          <w:trHeight w:val="306"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4" w:type="dxa"/>
            <w:vAlign w:val="center"/>
          </w:tcPr>
          <w:p>
            <w:pPr>
              <w:pStyle w:val="0"/>
              <w:widowControl w:val="1"/>
              <w:jc w:val="left"/>
              <w:rPr>
                <w:rFonts w:hint="default" w:ascii="メイリオ" w:hAnsi="メイリオ" w:eastAsia="メイリオ"/>
                <w:color w:val="000000" w:themeColor="text1"/>
                <w:sz w:val="24"/>
              </w:rPr>
            </w:pPr>
          </w:p>
        </w:tc>
        <w:tc>
          <w:tcPr>
            <w:tcW w:w="283" w:type="dxa"/>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406"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基本目標４</w:t>
            </w: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①認知症施策の充実</w:t>
            </w:r>
          </w:p>
        </w:tc>
      </w:tr>
      <w:tr>
        <w:trPr>
          <w:trHeight w:val="168"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restart"/>
            <w:tcBorders>
              <w:top w:val="single" w:color="auto" w:sz="4"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rPr>
            </w:pPr>
            <w:r>
              <w:rPr>
                <w:rFonts w:hint="eastAsia" w:ascii="メイリオ" w:hAnsi="メイリオ" w:eastAsia="メイリオ"/>
                <w:color w:val="000000" w:themeColor="text1"/>
              </w:rPr>
              <w:t>高齢者の尊厳を大切にした支援や</w:t>
            </w:r>
            <w:r>
              <w:rPr>
                <w:rFonts w:hint="default" w:ascii="メイリオ" w:hAnsi="メイリオ" w:eastAsia="メイリオ"/>
                <w:color w:val="000000" w:themeColor="text1"/>
              </w:rPr>
              <w:t>権利擁護の推進</w:t>
            </w:r>
          </w:p>
        </w:tc>
        <w:tc>
          <w:tcPr>
            <w:tcW w:w="284"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283"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18"/>
              </w:rPr>
            </w:pPr>
          </w:p>
        </w:tc>
      </w:tr>
      <w:tr>
        <w:trPr>
          <w:trHeight w:val="170"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4"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p>
        </w:tc>
      </w:tr>
      <w:tr>
        <w:trPr>
          <w:trHeight w:val="249" w:hRule="exact"/>
        </w:trPr>
        <w:tc>
          <w:tcPr>
            <w:tcW w:w="851" w:type="dxa"/>
            <w:vMerge w:val="continue"/>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4"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single" w:color="auto" w:sz="12" w:space="0"/>
              <w:left w:val="single" w:color="auto" w:sz="12"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83"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828" w:type="dxa"/>
            <w:vMerge w:val="restart"/>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②権利擁護事業の推進</w:t>
            </w:r>
          </w:p>
        </w:tc>
      </w:tr>
      <w:tr>
        <w:trPr>
          <w:trHeight w:val="438" w:hRule="exact"/>
        </w:trPr>
        <w:tc>
          <w:tcPr>
            <w:tcW w:w="851"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352"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352"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24"/>
              </w:rPr>
            </w:pPr>
          </w:p>
        </w:tc>
        <w:tc>
          <w:tcPr>
            <w:tcW w:w="2981" w:type="dxa"/>
            <w:vMerge w:val="continue"/>
            <w:tcBorders>
              <w:top w:val="single" w:color="auto" w:sz="4"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c>
          <w:tcPr>
            <w:tcW w:w="284" w:type="dxa"/>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283" w:type="dxa"/>
            <w:tcBorders>
              <w:top w:val="single" w:color="auto" w:sz="12" w:space="0"/>
              <w:left w:val="none" w:color="auto" w:sz="0" w:space="0"/>
              <w:bottom w:val="none" w:color="auto" w:sz="0"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color w:val="000000" w:themeColor="text1"/>
                <w:sz w:val="16"/>
              </w:rPr>
            </w:pPr>
          </w:p>
        </w:tc>
        <w:tc>
          <w:tcPr>
            <w:tcW w:w="3828" w:type="dxa"/>
            <w:vMerge w:val="continue"/>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widowControl w:val="1"/>
              <w:jc w:val="left"/>
              <w:rPr>
                <w:rFonts w:hint="default" w:ascii="メイリオ" w:hAnsi="メイリオ" w:eastAsia="メイリオ"/>
                <w:sz w:val="24"/>
              </w:rPr>
            </w:pP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36"/>
        <w:rPr>
          <w:rFonts w:hint="default"/>
          <w:color w:val="000000" w:themeColor="text1"/>
        </w:rPr>
      </w:pPr>
      <w:bookmarkStart w:id="29" w:name="_Toc154129935"/>
      <w:r>
        <w:rPr>
          <w:rFonts w:hint="eastAsia"/>
          <w:color w:val="000000" w:themeColor="text1"/>
        </w:rPr>
        <w:t>第４章　施策の展開</w:t>
      </w:r>
      <w:bookmarkEnd w:id="29"/>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21"/>
        <w:ind w:left="0" w:leftChars="0" w:right="210" w:firstLine="0" w:firstLineChars="0"/>
        <w:rPr>
          <w:rFonts w:hint="default"/>
          <w:color w:val="000000" w:themeColor="text1"/>
          <w:sz w:val="28"/>
        </w:rPr>
      </w:pPr>
      <w:r>
        <w:rPr>
          <w:rFonts w:hint="eastAsia"/>
          <w:color w:val="000000" w:themeColor="text1"/>
          <w:sz w:val="28"/>
        </w:rPr>
        <w:t>基本目標１　</w:t>
      </w:r>
    </w:p>
    <w:p>
      <w:pPr>
        <w:pStyle w:val="38"/>
        <w:ind w:firstLine="280" w:firstLineChars="100"/>
        <w:rPr>
          <w:rFonts w:hint="default"/>
          <w:color w:val="000000" w:themeColor="text1"/>
        </w:rPr>
      </w:pPr>
      <w:bookmarkStart w:id="30" w:name="_Toc154129936"/>
      <w:r>
        <w:rPr>
          <w:rFonts w:hint="eastAsia"/>
          <w:color w:val="000000" w:themeColor="text1"/>
        </w:rPr>
        <w:t>住み慣れた環境で暮らし続けることができる体制の構築</w:t>
      </w:r>
      <w:bookmarkEnd w:id="30"/>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地域包括ケアシステムの構築を進める地域づくり</w:t>
      </w:r>
    </w:p>
    <w:p>
      <w:pPr>
        <w:pStyle w:val="40"/>
        <w:ind w:left="210" w:leftChars="100" w:firstLine="240" w:firstLineChars="100"/>
        <w:rPr>
          <w:rFonts w:hint="default"/>
          <w:color w:val="000000" w:themeColor="text1"/>
        </w:rPr>
      </w:pPr>
      <w:r>
        <w:rPr>
          <w:rFonts w:hint="eastAsia"/>
          <w:b w:val="0"/>
          <w:color w:val="000000" w:themeColor="text1"/>
        </w:rPr>
        <w:t>地域共生社会の実現が地域包括ケアシステムの目指す方向であることを基盤とし、中長期的な視点で地域課題を具体化していきます。より複雑化するニーズに対応し適切な支援に結びつくことができるよう、地域包括支援センターが持つ総合相談支援機能の活用により、他分野との連携促進を図ります。</w:t>
      </w:r>
    </w:p>
    <w:p>
      <w:pPr>
        <w:pStyle w:val="40"/>
        <w:rPr>
          <w:rFonts w:hint="default"/>
          <w:color w:val="000000" w:themeColor="text1"/>
        </w:rPr>
      </w:pPr>
    </w:p>
    <w:tbl>
      <w:tblPr>
        <w:tblStyle w:val="11"/>
        <w:tblW w:w="8505" w:type="dxa"/>
        <w:tblInd w:w="-5" w:type="dxa"/>
        <w:tblLayout w:type="fixed"/>
        <w:tblLook w:firstRow="1" w:lastRow="0" w:firstColumn="1" w:lastColumn="0" w:noHBand="0" w:noVBand="1" w:val="04A0"/>
      </w:tblPr>
      <w:tblGrid>
        <w:gridCol w:w="417"/>
        <w:gridCol w:w="2523"/>
        <w:gridCol w:w="5565"/>
      </w:tblGrid>
      <w:tr>
        <w:trPr>
          <w:trHeight w:val="510" w:hRule="atLeast"/>
          <w:tblHeade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w:t>
            </w:r>
          </w:p>
        </w:tc>
        <w:tc>
          <w:tcPr>
            <w:tcW w:w="252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取り組み</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内容</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sz w:val="20"/>
              </w:rPr>
            </w:pPr>
          </w:p>
        </w:tc>
        <w:tc>
          <w:tcPr>
            <w:tcW w:w="252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sz w:val="20"/>
              </w:rPr>
            </w:pPr>
            <w:r>
              <w:rPr>
                <w:rFonts w:hint="eastAsia" w:ascii="メイリオ" w:hAnsi="メイリオ" w:eastAsia="メイリオ"/>
                <w:b w:val="1"/>
                <w:color w:val="000000" w:themeColor="text1"/>
                <w:sz w:val="20"/>
              </w:rPr>
              <w:t>地域ケア会議における地域課題の検討と共有</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00" w:firstLineChars="100"/>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各事業所が抱えている困難性を全体で共有することで、地域に必要な資源や生活課題を可視化し具体策を検討していきます。</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sz w:val="20"/>
              </w:rPr>
            </w:pPr>
          </w:p>
        </w:tc>
        <w:tc>
          <w:tcPr>
            <w:tcW w:w="252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sz w:val="20"/>
              </w:rPr>
            </w:pPr>
            <w:r>
              <w:rPr>
                <w:rFonts w:hint="eastAsia" w:ascii="メイリオ" w:hAnsi="メイリオ" w:eastAsia="メイリオ"/>
                <w:b w:val="1"/>
                <w:color w:val="000000" w:themeColor="text1"/>
                <w:sz w:val="20"/>
              </w:rPr>
              <w:t>地域包括支援センターの機能強化</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00" w:firstLineChars="100"/>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地域包括支援センターが多職種連携のつなぎを担い、ケアマネジメントの適正化を強化していきます。</w:t>
            </w:r>
          </w:p>
        </w:tc>
      </w:tr>
    </w:tbl>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2940"/>
        <w:gridCol w:w="1113"/>
        <w:gridCol w:w="1113"/>
        <w:gridCol w:w="1113"/>
        <w:gridCol w:w="1113"/>
        <w:gridCol w:w="1113"/>
      </w:tblGrid>
      <w:tr>
        <w:trPr>
          <w:trHeight w:val="510" w:hRule="atLeast"/>
          <w:tblHeader/>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指標</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単位</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現状値</w:t>
            </w:r>
            <w:r>
              <w:rPr>
                <w:rFonts w:hint="default" w:ascii="メイリオ" w:hAnsi="メイリオ" w:eastAsia="メイリオ"/>
                <w:color w:val="000000" w:themeColor="text1"/>
                <w:sz w:val="20"/>
              </w:rPr>
              <w:br w:type="textWrapping" w:clear="none"/>
            </w:r>
            <w:r>
              <w:rPr>
                <w:rFonts w:hint="eastAsia" w:ascii="メイリオ" w:hAnsi="メイリオ" w:eastAsia="メイリオ"/>
                <w:color w:val="000000" w:themeColor="text1"/>
                <w:sz w:val="20"/>
              </w:rPr>
              <w:t>（</w:t>
            </w:r>
            <w:r>
              <w:rPr>
                <w:rFonts w:hint="eastAsia" w:ascii="メイリオ" w:hAnsi="メイリオ" w:eastAsia="メイリオ"/>
                <w:color w:val="000000" w:themeColor="text1"/>
                <w:sz w:val="20"/>
              </w:rPr>
              <w:t>R5</w:t>
            </w:r>
            <w:r>
              <w:rPr>
                <w:rFonts w:hint="eastAsia" w:ascii="メイリオ" w:hAnsi="メイリオ" w:eastAsia="メイリオ"/>
                <w:color w:val="000000" w:themeColor="text1"/>
                <w:sz w:val="20"/>
              </w:rPr>
              <w:t>）</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R6</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R7</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R8</w:t>
            </w:r>
          </w:p>
        </w:tc>
      </w:tr>
      <w:tr>
        <w:trPr>
          <w:trHeight w:val="624" w:hRule="atLeast"/>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sz w:val="20"/>
              </w:rPr>
            </w:pPr>
            <w:r>
              <w:rPr>
                <w:rFonts w:hint="eastAsia" w:ascii="メイリオ" w:hAnsi="メイリオ" w:eastAsia="メイリオ"/>
                <w:b w:val="1"/>
                <w:color w:val="000000" w:themeColor="text1"/>
                <w:sz w:val="20"/>
              </w:rPr>
              <w:t>65</w:t>
            </w:r>
            <w:r>
              <w:rPr>
                <w:rFonts w:hint="eastAsia" w:ascii="メイリオ" w:hAnsi="メイリオ" w:eastAsia="メイリオ"/>
                <w:b w:val="1"/>
                <w:color w:val="000000" w:themeColor="text1"/>
                <w:sz w:val="20"/>
              </w:rPr>
              <w:t>歳以上の町外転出数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人数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11</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6</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6</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sz w:val="20"/>
              </w:rPr>
            </w:pPr>
            <w:r>
              <w:rPr>
                <w:rFonts w:hint="eastAsia" w:ascii="メイリオ" w:hAnsi="メイリオ" w:eastAsia="メイリオ"/>
                <w:color w:val="000000" w:themeColor="text1"/>
                <w:sz w:val="20"/>
              </w:rPr>
              <w:t>6</w:t>
            </w:r>
          </w:p>
        </w:tc>
      </w:tr>
    </w:tbl>
    <w:p>
      <w:pPr>
        <w:pStyle w:val="40"/>
        <w:rPr>
          <w:rFonts w:hint="default"/>
          <w:color w:val="000000" w:themeColor="text1"/>
        </w:rPr>
      </w:pPr>
      <w:r>
        <w:rPr>
          <w:rFonts w:hint="default"/>
          <w:color w:val="000000" w:themeColor="text1"/>
        </w:rPr>
        <w:br w:type="page"/>
      </w:r>
      <w:r>
        <w:rPr>
          <w:rFonts w:hint="eastAsia"/>
          <w:color w:val="000000" w:themeColor="text1"/>
        </w:rPr>
        <w:t>２　地域包括ケアシステムを支える人材の確保および介護生産性の向上の推進</w:t>
      </w:r>
    </w:p>
    <w:p>
      <w:pPr>
        <w:pStyle w:val="40"/>
        <w:ind w:left="210" w:leftChars="100" w:firstLine="240" w:firstLineChars="100"/>
        <w:rPr>
          <w:rFonts w:hint="default"/>
          <w:color w:val="000000" w:themeColor="text1"/>
        </w:rPr>
      </w:pPr>
      <w:r>
        <w:rPr>
          <w:rFonts w:hint="eastAsia"/>
          <w:b w:val="0"/>
          <w:color w:val="000000" w:themeColor="text1"/>
        </w:rPr>
        <w:t>町内全体での介護医療の人材の確保を図り、介護現場における生産性の向上を推進していきます。また、ケアマネジメントの質の向上や高齢者を支える人材の確保に努めます。</w:t>
      </w:r>
    </w:p>
    <w:p>
      <w:pPr>
        <w:pStyle w:val="0"/>
        <w:widowControl w:val="1"/>
        <w:jc w:val="left"/>
        <w:rPr>
          <w:rFonts w:hint="default" w:ascii="メイリオ" w:hAnsi="メイリオ" w:eastAsia="メイリオ"/>
          <w:color w:val="000000" w:themeColor="text1"/>
          <w:sz w:val="24"/>
        </w:rPr>
      </w:pPr>
    </w:p>
    <w:tbl>
      <w:tblPr>
        <w:tblStyle w:val="11"/>
        <w:tblW w:w="8505" w:type="dxa"/>
        <w:tblInd w:w="-5" w:type="dxa"/>
        <w:tblLayout w:type="fixed"/>
        <w:tblLook w:firstRow="1" w:lastRow="0" w:firstColumn="1" w:lastColumn="0" w:noHBand="0" w:noVBand="1" w:val="04A0"/>
      </w:tblPr>
      <w:tblGrid>
        <w:gridCol w:w="426"/>
        <w:gridCol w:w="2514"/>
        <w:gridCol w:w="5565"/>
      </w:tblGrid>
      <w:tr>
        <w:trPr>
          <w:trHeight w:val="510" w:hRule="atLeast"/>
          <w:tblHeade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5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2"/>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介護職員初任者研修の開催</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介護人材を増やすために町内で資格を取得できる機会を確保します。また、介護職が就業の選択肢の１つに入るような周知・啓発にもつなげていきます。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2"/>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介護資格取得に向けた助成制度の実施</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介護職員等資格取得・研修支援事業により、町内の介護職に従事する人材の育成・確保と定着の促進を図ります。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2"/>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町内における医療・介護研修会の実施</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日々の業務に生かすことができるよう、実務者の要望に合わせた研修会を企画します。</w:t>
            </w:r>
          </w:p>
        </w:tc>
      </w:tr>
    </w:tbl>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2940"/>
        <w:gridCol w:w="1113"/>
        <w:gridCol w:w="1113"/>
        <w:gridCol w:w="1113"/>
        <w:gridCol w:w="1113"/>
        <w:gridCol w:w="1113"/>
      </w:tblGrid>
      <w:tr>
        <w:trPr>
          <w:trHeight w:val="510" w:hRule="atLeast"/>
          <w:tblHeader/>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666" w:hRule="atLeast"/>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介護職員初任者研修の受講者数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受講者数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８</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10</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10</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10</w:t>
            </w:r>
          </w:p>
        </w:tc>
      </w:tr>
      <w:tr>
        <w:trPr>
          <w:trHeight w:val="666" w:hRule="atLeast"/>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介護職員等資格取得・研修支援</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支援者数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w:t>
            </w:r>
          </w:p>
        </w:tc>
      </w:tr>
      <w:tr>
        <w:trPr>
          <w:trHeight w:val="666" w:hRule="atLeast"/>
        </w:trPr>
        <w:tc>
          <w:tcPr>
            <w:tcW w:w="29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医療介護研修会の実施</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実施回数</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113"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113"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11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３　介護給付等対象サービスの充実</w:t>
      </w:r>
      <w:r>
        <w:rPr>
          <w:rFonts w:hint="default"/>
          <w:color w:val="000000" w:themeColor="text1"/>
        </w:rPr>
        <w:tab/>
      </w:r>
    </w:p>
    <w:p>
      <w:pPr>
        <w:pStyle w:val="40"/>
        <w:ind w:left="210" w:leftChars="100" w:firstLine="240" w:firstLineChars="100"/>
        <w:rPr>
          <w:rFonts w:hint="default"/>
          <w:color w:val="000000" w:themeColor="text1"/>
        </w:rPr>
      </w:pPr>
      <w:r>
        <w:rPr>
          <w:rFonts w:hint="eastAsia"/>
          <w:b w:val="0"/>
          <w:color w:val="000000" w:themeColor="text1"/>
        </w:rPr>
        <w:t>現状にある介護サービス事業所の維持継続を重要と考え、世代の変化に対応できる介護の質の確保に務め、町民のニーズに沿う介護サービスの提供を推進します。また、家族介護者を含めて支えていくための支援を検討します。特別養護老人ホームの特例入所について、地域の実情を踏まえた適切な運用への関与を行います。</w:t>
      </w:r>
    </w:p>
    <w:tbl>
      <w:tblPr>
        <w:tblStyle w:val="11"/>
        <w:tblpPr w:leftFromText="0" w:rightFromText="0" w:topFromText="0" w:bottomFromText="0" w:vertAnchor="text" w:horzAnchor="margin" w:tblpX="114" w:tblpY="465"/>
        <w:tblOverlap w:val="never"/>
        <w:tblW w:w="8392" w:type="dxa"/>
        <w:tblLayout w:type="fixed"/>
        <w:tblLook w:firstRow="1" w:lastRow="0" w:firstColumn="1" w:lastColumn="0" w:noHBand="0" w:noVBand="1" w:val="04A0"/>
      </w:tblPr>
      <w:tblGrid>
        <w:gridCol w:w="417"/>
        <w:gridCol w:w="2410"/>
        <w:gridCol w:w="5565"/>
      </w:tblGrid>
      <w:tr>
        <w:trPr>
          <w:trHeight w:val="510" w:hRule="atLeast"/>
          <w:tblHeade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41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3"/>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41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訪問系サービスの充実</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在宅介護を望む町民に必要な訪問介護サービスが提供できるよう、訪問できる介護人材の育成を検討します。</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3"/>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41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ind w:right="-107" w:rightChars="-51"/>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介護サービスの質の確保</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利用者のニーズに合った介護サービスの利用になっているか、各事業所の介護支援専門員が中心に行うケアマネジメントの質を確認していきます。</w:t>
            </w:r>
          </w:p>
        </w:tc>
      </w:tr>
      <w:tr>
        <w:trPr>
          <w:trHeight w:val="64" w:hRule="atLeast"/>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3"/>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41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ind w:right="-107" w:rightChars="-51"/>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介護に取り組む家族等への支援の充実</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在宅介護実態調査結果に基づき、介護に取り組む家族の負担軽減のため、相談体制や介護に関する情報を提供し、支援を充実します。</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pPr w:leftFromText="0" w:rightFromText="0" w:topFromText="0" w:bottomFromText="0" w:vertAnchor="text" w:horzAnchor="margin" w:tblpX="92" w:tblpY="3"/>
        <w:tblOverlap w:val="never"/>
        <w:tblW w:w="8374" w:type="dxa"/>
        <w:tblLayout w:type="fixed"/>
        <w:tblLook w:firstRow="1" w:lastRow="0" w:firstColumn="1" w:lastColumn="0" w:noHBand="0" w:noVBand="1" w:val="04A0"/>
      </w:tblPr>
      <w:tblGrid>
        <w:gridCol w:w="2803"/>
        <w:gridCol w:w="1114"/>
        <w:gridCol w:w="1114"/>
        <w:gridCol w:w="1114"/>
        <w:gridCol w:w="1114"/>
        <w:gridCol w:w="1115"/>
      </w:tblGrid>
      <w:tr>
        <w:trPr>
          <w:trHeight w:val="510" w:hRule="atLeast"/>
          <w:tblHeader/>
        </w:trPr>
        <w:tc>
          <w:tcPr>
            <w:tcW w:w="280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p>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r>
              <w:rPr>
                <w:rFonts w:hint="default" w:ascii="メイリオ" w:hAnsi="メイリオ" w:eastAsia="メイリオ"/>
                <w:color w:val="000000" w:themeColor="text1"/>
              </w:rPr>
              <w:t>R5</w:t>
            </w:r>
            <w:r>
              <w:rPr>
                <w:rFonts w:hint="default" w:ascii="メイリオ" w:hAnsi="メイリオ" w:eastAsia="メイリオ"/>
                <w:color w:val="000000" w:themeColor="text1"/>
              </w:rPr>
              <w:t>）</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114"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11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1336" w:hRule="atLeast"/>
        </w:trPr>
        <w:tc>
          <w:tcPr>
            <w:tcW w:w="2803" w:type="dxa"/>
            <w:vMerge w:val="restart"/>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介護のための離職の有無</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主な介護者が仕事を辞めた率</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0.0</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114"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11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0.0</w:t>
            </w:r>
          </w:p>
        </w:tc>
      </w:tr>
      <w:tr>
        <w:trPr/>
        <w:tc>
          <w:tcPr>
            <w:tcW w:w="2803" w:type="dxa"/>
            <w:vMerge w:val="continue"/>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ascii="メイリオ" w:hAnsi="メイリオ" w:eastAsia="メイリオ"/>
                <w:b w:val="1"/>
                <w:color w:val="000000" w:themeColor="text1"/>
              </w:rPr>
            </w:pP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主な介護者以外の家族等が仕事を辞めた率</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7.7</w:t>
            </w:r>
          </w:p>
        </w:tc>
        <w:tc>
          <w:tcPr>
            <w:tcW w:w="111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114"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11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減少</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４　高齢者の日常生活を支える体制の整備</w:t>
      </w:r>
      <w:r>
        <w:rPr>
          <w:rFonts w:hint="default"/>
          <w:color w:val="000000" w:themeColor="text1"/>
        </w:rPr>
        <w:tab/>
      </w:r>
    </w:p>
    <w:tbl>
      <w:tblPr>
        <w:tblStyle w:val="11"/>
        <w:tblpPr w:leftFromText="142" w:rightFromText="142" w:topFromText="0" w:bottomFromText="0" w:vertAnchor="page" w:horzAnchor="margin" w:tblpXSpec="left" w:tblpY="6301"/>
        <w:tblW w:w="8505" w:type="dxa"/>
        <w:tblLayout w:type="fixed"/>
        <w:tblLook w:firstRow="1" w:lastRow="0" w:firstColumn="1" w:lastColumn="0" w:noHBand="0" w:noVBand="1" w:val="04A0"/>
      </w:tblPr>
      <w:tblGrid>
        <w:gridCol w:w="420"/>
        <w:gridCol w:w="2520"/>
        <w:gridCol w:w="5565"/>
      </w:tblGrid>
      <w:tr>
        <w:trPr>
          <w:trHeight w:val="510" w:hRule="atLeast"/>
          <w:tblHeader/>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52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4"/>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2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総合事業の推進</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訪問型サービスＡの実施継続をはじめ、地域の実情に応じた多様なサービスを協議検討していきます。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4"/>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2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生活支援サービスの充実</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高齢者の暮らしのニーズに合わせた生活支援体制の整備に向けて、介護保険サービス以外の支援やサービスが充実するよう協議検討していきます。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4"/>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2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生活支援体制整備事業の推進</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生活支援コーディネーターを中心に高齢者の生活課題を把握し、協議体で具体策を検討します。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4"/>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520"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独居高齢者の安否確認体制の整備</w:t>
            </w:r>
          </w:p>
        </w:tc>
        <w:tc>
          <w:tcPr>
            <w:tcW w:w="55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見守り体制や声かけなどにより、一人暮らしの高齢者の安否確認体制を整備します。</w:t>
            </w:r>
          </w:p>
        </w:tc>
      </w:tr>
    </w:tbl>
    <w:p>
      <w:pPr>
        <w:pStyle w:val="40"/>
        <w:ind w:left="210" w:leftChars="100" w:firstLine="26" w:firstLineChars="11"/>
        <w:rPr>
          <w:rFonts w:hint="default"/>
          <w:color w:val="000000" w:themeColor="text1"/>
        </w:rPr>
      </w:pPr>
      <w:r>
        <w:rPr>
          <w:rFonts w:hint="eastAsia"/>
          <w:color w:val="000000" w:themeColor="text1"/>
        </w:rPr>
        <w:t>　</w:t>
      </w:r>
      <w:r>
        <w:rPr>
          <w:rFonts w:hint="eastAsia"/>
          <w:b w:val="0"/>
          <w:color w:val="000000" w:themeColor="text1"/>
        </w:rPr>
        <w:t>今回の計画策定において高齢者の現状を整理したところ、一般世帯数およ　び高齢者を含む世帯数が減少していますが、高齢者の独居世帯は増加していることがわかりました。年を重ねても住みやすい地域を構築するために、介護サービスの利用だけでは解決できない生活課題について協議し、生活支援につながるサービスの創出に努めます。また、令和</w:t>
      </w:r>
      <w:r>
        <w:rPr>
          <w:rFonts w:hint="default"/>
          <w:b w:val="0"/>
          <w:color w:val="000000" w:themeColor="text1"/>
        </w:rPr>
        <w:t>5</w:t>
      </w:r>
      <w:r>
        <w:rPr>
          <w:rFonts w:hint="default"/>
          <w:b w:val="0"/>
          <w:color w:val="000000" w:themeColor="text1"/>
        </w:rPr>
        <w:t>年</w:t>
      </w:r>
      <w:r>
        <w:rPr>
          <w:rFonts w:hint="eastAsia"/>
          <w:b w:val="0"/>
          <w:color w:val="000000" w:themeColor="text1"/>
        </w:rPr>
        <w:t>度</w:t>
      </w:r>
      <w:r>
        <w:rPr>
          <w:rFonts w:hint="default"/>
          <w:b w:val="0"/>
          <w:color w:val="000000" w:themeColor="text1"/>
        </w:rPr>
        <w:t>に行った協議体で出た意見として「多世代交流」や「安否確認」を求めている声が多</w:t>
      </w:r>
      <w:r>
        <w:rPr>
          <w:rFonts w:hint="eastAsia"/>
          <w:b w:val="0"/>
          <w:color w:val="000000" w:themeColor="text1"/>
        </w:rPr>
        <w:t>く、その対応策についても検討</w:t>
      </w:r>
      <w:r>
        <w:rPr>
          <w:rFonts w:hint="default"/>
          <w:b w:val="0"/>
          <w:color w:val="000000" w:themeColor="text1"/>
        </w:rPr>
        <w:t>してい</w:t>
      </w:r>
      <w:r>
        <w:rPr>
          <w:rFonts w:hint="eastAsia"/>
          <w:b w:val="0"/>
          <w:color w:val="000000" w:themeColor="text1"/>
        </w:rPr>
        <w:t>きます</w:t>
      </w:r>
      <w:r>
        <w:rPr>
          <w:rFonts w:hint="default"/>
          <w:b w:val="0"/>
          <w:color w:val="000000" w:themeColor="text1"/>
        </w:rPr>
        <w:t>。</w:t>
      </w:r>
    </w:p>
    <w:p>
      <w:pPr>
        <w:pStyle w:val="40"/>
        <w:ind w:firstLine="240" w:firstLineChars="100"/>
        <w:rPr>
          <w:rFonts w:hint="default"/>
          <w:color w:val="000000" w:themeColor="text1"/>
        </w:rPr>
      </w:pPr>
    </w:p>
    <w:tbl>
      <w:tblPr>
        <w:tblStyle w:val="11"/>
        <w:tblpPr w:leftFromText="142" w:rightFromText="142" w:topFromText="0" w:bottomFromText="0" w:vertAnchor="page" w:horzAnchor="margin" w:tblpXSpec="left" w:tblpY="11038"/>
        <w:tblW w:w="8505" w:type="dxa"/>
        <w:tblLayout w:type="fixed"/>
        <w:tblLook w:firstRow="1" w:lastRow="0" w:firstColumn="1" w:lastColumn="0" w:noHBand="0" w:noVBand="1" w:val="04A0"/>
      </w:tblPr>
      <w:tblGrid>
        <w:gridCol w:w="3044"/>
        <w:gridCol w:w="1092"/>
        <w:gridCol w:w="1092"/>
        <w:gridCol w:w="1092"/>
        <w:gridCol w:w="1092"/>
        <w:gridCol w:w="1093"/>
      </w:tblGrid>
      <w:tr>
        <w:trPr>
          <w:trHeight w:val="510" w:hRule="atLeast"/>
          <w:tblHeader/>
        </w:trPr>
        <w:tc>
          <w:tcPr>
            <w:tcW w:w="30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739" w:hRule="atLeast"/>
        </w:trPr>
        <w:tc>
          <w:tcPr>
            <w:tcW w:w="30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多世代交流の機会</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実施数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０</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3"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r>
    </w:tbl>
    <w:p>
      <w:pPr>
        <w:pStyle w:val="0"/>
        <w:widowControl w:val="1"/>
        <w:snapToGrid w:val="0"/>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p>
      <w:pPr>
        <w:pStyle w:val="0"/>
        <w:widowControl w:val="1"/>
        <w:jc w:val="left"/>
        <w:rPr>
          <w:rFonts w:hint="default"/>
          <w:color w:val="000000" w:themeColor="text1"/>
        </w:rPr>
      </w:pPr>
    </w:p>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r>
        <w:rPr>
          <w:rFonts w:hint="eastAsia"/>
          <w:color w:val="000000" w:themeColor="text1"/>
        </w:rPr>
        <w:t>5</w:t>
      </w:r>
      <w:r>
        <w:rPr>
          <w:rFonts w:hint="eastAsia"/>
          <w:color w:val="000000" w:themeColor="text1"/>
        </w:rPr>
        <w:t>　在宅医療・介護連携を図るための体制の整備</w:t>
      </w:r>
      <w:r>
        <w:rPr>
          <w:rFonts w:hint="default"/>
          <w:color w:val="000000" w:themeColor="text1"/>
        </w:rPr>
        <w:tab/>
      </w:r>
    </w:p>
    <w:p>
      <w:pPr>
        <w:pStyle w:val="40"/>
        <w:ind w:left="210" w:leftChars="100" w:firstLine="240" w:firstLineChars="100"/>
        <w:rPr>
          <w:rFonts w:hint="default"/>
          <w:color w:val="000000" w:themeColor="text1"/>
        </w:rPr>
      </w:pPr>
      <w:r>
        <w:rPr>
          <w:rFonts w:hint="eastAsia"/>
          <w:b w:val="0"/>
          <w:color w:val="000000" w:themeColor="text1"/>
        </w:rPr>
        <w:t>今回行ったニーズ調査の項目で、｢高齢者介護・福祉事業として特に力を入れてほしいもの｣についてたずねたところ、｢医療と介護の連携に関する事業｣と回答した者が最も多い結果となりました。事業所ヒアリングの結果としても、今般のコロナ禍の影響で様々な制限をせざるを得ない中で、医療と介護の連携の必要性について再確認する必要があるとの意見が共通してありました。医療は生活に配慮した支える医療の提供を、介護は医療の視点を含めたケアの提供を行うために必要な情報提供を。そして、町民の医療へのニーズを把握し、町民にとって必要な医療のあり方を検討します。</w:t>
      </w:r>
    </w:p>
    <w:tbl>
      <w:tblPr>
        <w:tblStyle w:val="11"/>
        <w:tblpPr w:leftFromText="0" w:rightFromText="0" w:topFromText="0" w:bottomFromText="0" w:vertAnchor="text" w:horzAnchor="margin" w:tblpXSpec="left" w:tblpY="475"/>
        <w:tblOverlap w:val="never"/>
        <w:tblW w:w="8505" w:type="dxa"/>
        <w:tblLayout w:type="fixed"/>
        <w:tblLook w:firstRow="1" w:lastRow="0" w:firstColumn="1" w:lastColumn="0" w:noHBand="0" w:noVBand="1" w:val="04A0"/>
      </w:tblPr>
      <w:tblGrid>
        <w:gridCol w:w="604"/>
        <w:gridCol w:w="2441"/>
        <w:gridCol w:w="5460"/>
      </w:tblGrid>
      <w:tr>
        <w:trPr>
          <w:trHeight w:val="510" w:hRule="atLeast"/>
          <w:tblHeader/>
        </w:trPr>
        <w:tc>
          <w:tcPr>
            <w:tcW w:w="60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44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77" w:hRule="atLeast"/>
        </w:trPr>
        <w:tc>
          <w:tcPr>
            <w:tcW w:w="60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highlight w:val="none"/>
              </w:rPr>
              <w:t>①</w:t>
            </w:r>
          </w:p>
        </w:tc>
        <w:tc>
          <w:tcPr>
            <w:tcW w:w="244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医療・介護連携の推進と多職種連携の強化</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52" w:firstLineChars="120"/>
              <w:rPr>
                <w:rFonts w:hint="default" w:ascii="メイリオ" w:hAnsi="メイリオ" w:eastAsia="メイリオ"/>
                <w:color w:val="000000" w:themeColor="text1"/>
              </w:rPr>
            </w:pPr>
            <w:r>
              <w:rPr>
                <w:rFonts w:hint="eastAsia" w:ascii="メイリオ" w:hAnsi="メイリオ" w:eastAsia="メイリオ"/>
                <w:color w:val="000000" w:themeColor="text1"/>
              </w:rPr>
              <w:t>地域包括支援センターが病院から自宅への退院や在宅療養生活に関する相談支援を行い、介護サービス事業所および介護施設と医療機関の間の地域連携の強化を行います。</w:t>
            </w:r>
          </w:p>
        </w:tc>
      </w:tr>
      <w:tr>
        <w:trPr>
          <w:trHeight w:val="77" w:hRule="atLeast"/>
        </w:trPr>
        <w:tc>
          <w:tcPr>
            <w:tcW w:w="604"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highlight w:val="none"/>
              </w:rPr>
              <w:t>②</w:t>
            </w:r>
          </w:p>
        </w:tc>
        <w:tc>
          <w:tcPr>
            <w:tcW w:w="244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個々人の意向を大事にした療養支援（アドバンスケアプランニングの推進）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本人が望む療養支援について、本人や家族が納得できる意向支援ができるよう取り組みます。</w:t>
            </w:r>
          </w:p>
        </w:tc>
      </w:tr>
    </w:tbl>
    <w:p>
      <w:pPr>
        <w:pStyle w:val="40"/>
        <w:ind w:firstLine="240" w:firstLineChars="100"/>
        <w:rPr>
          <w:rFonts w:hint="default"/>
          <w:color w:val="000000" w:themeColor="text1"/>
        </w:rPr>
      </w:pPr>
    </w:p>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3045"/>
        <w:gridCol w:w="1092"/>
        <w:gridCol w:w="1092"/>
        <w:gridCol w:w="1092"/>
        <w:gridCol w:w="1092"/>
        <w:gridCol w:w="1092"/>
      </w:tblGrid>
      <w:tr>
        <w:trPr>
          <w:trHeight w:val="510" w:hRule="atLeast"/>
          <w:tblHeade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介護が必要になった場合の場所の希望</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町内を</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希望</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ind w:right="210" w:rightChars="100"/>
              <w:jc w:val="right"/>
              <w:rPr>
                <w:rFonts w:hint="default" w:ascii="メイリオ" w:hAnsi="メイリオ" w:eastAsia="メイリオ"/>
                <w:color w:val="000000" w:themeColor="text1"/>
              </w:rPr>
            </w:pPr>
            <w:r>
              <w:rPr>
                <w:rFonts w:hint="eastAsia" w:ascii="メイリオ" w:hAnsi="メイリオ" w:eastAsia="メイリオ"/>
                <w:color w:val="000000" w:themeColor="text1"/>
              </w:rPr>
              <w:t>69.2</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増加</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６　高齢者の住まいの安定的な確保</w:t>
      </w:r>
      <w:r>
        <w:rPr>
          <w:rFonts w:hint="default"/>
          <w:color w:val="000000" w:themeColor="text1"/>
        </w:rPr>
        <w:tab/>
      </w:r>
    </w:p>
    <w:p>
      <w:pPr>
        <w:pStyle w:val="40"/>
        <w:ind w:left="210" w:leftChars="100" w:firstLine="240" w:firstLineChars="100"/>
        <w:rPr>
          <w:rFonts w:hint="default"/>
          <w:color w:val="000000" w:themeColor="text1"/>
        </w:rPr>
      </w:pPr>
      <w:r>
        <w:rPr>
          <w:rFonts w:hint="eastAsia"/>
          <w:b w:val="0"/>
          <w:color w:val="000000" w:themeColor="text1"/>
        </w:rPr>
        <w:t>地域包括ケアシステムの構築の基盤として住まいの支援は重要な取り組みだといえます。自宅において介護が必要となり住み続けることが難しくなった場合、町内で住み替えをしながらもリロケーションダメージ（新しい環境に馴染むまでのストレス）を最小限にできるよう、住まいに関する情報提供と意思決定の支援を行います。</w:t>
      </w:r>
    </w:p>
    <w:tbl>
      <w:tblPr>
        <w:tblStyle w:val="11"/>
        <w:tblpPr w:leftFromText="0" w:rightFromText="0" w:topFromText="0" w:bottomFromText="0" w:vertAnchor="text" w:horzAnchor="margin" w:tblpXSpec="left" w:tblpY="363"/>
        <w:tblOverlap w:val="never"/>
        <w:tblW w:w="8505" w:type="dxa"/>
        <w:tblLayout w:type="fixed"/>
        <w:tblLook w:firstRow="1" w:lastRow="0" w:firstColumn="1" w:lastColumn="0" w:noHBand="0" w:noVBand="1" w:val="04A0"/>
      </w:tblPr>
      <w:tblGrid>
        <w:gridCol w:w="521"/>
        <w:gridCol w:w="2524"/>
        <w:gridCol w:w="5460"/>
      </w:tblGrid>
      <w:tr>
        <w:trPr>
          <w:trHeight w:val="510" w:hRule="atLeast"/>
          <w:tblHeader/>
        </w:trPr>
        <w:tc>
          <w:tcPr>
            <w:tcW w:w="521"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52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77" w:hRule="atLeast"/>
        </w:trPr>
        <w:tc>
          <w:tcPr>
            <w:tcW w:w="521"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highlight w:val="none"/>
              </w:rPr>
              <w:t>①</w:t>
            </w:r>
          </w:p>
        </w:tc>
        <w:tc>
          <w:tcPr>
            <w:tcW w:w="252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高齢者の住まいに関する情報提供</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52" w:firstLineChars="120"/>
              <w:rPr>
                <w:rFonts w:hint="default" w:ascii="メイリオ" w:hAnsi="メイリオ" w:eastAsia="メイリオ"/>
                <w:color w:val="000000" w:themeColor="text1"/>
              </w:rPr>
            </w:pPr>
            <w:r>
              <w:rPr>
                <w:rFonts w:hint="eastAsia" w:ascii="メイリオ" w:hAnsi="メイリオ" w:eastAsia="メイリオ"/>
                <w:color w:val="000000" w:themeColor="text1"/>
              </w:rPr>
              <w:t>住まいと生活支援の一体的確保を目的とした陸別町一時住まい事業「かっこうの家」の他、高齢者が自分の状態に合った住まいを選択できるよう、情報提供と意思決定の支援を行います。</w:t>
            </w:r>
          </w:p>
        </w:tc>
      </w:tr>
    </w:tbl>
    <w:p>
      <w:pPr>
        <w:pStyle w:val="40"/>
        <w:ind w:firstLine="240" w:firstLineChars="10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3045"/>
        <w:gridCol w:w="1092"/>
        <w:gridCol w:w="1092"/>
        <w:gridCol w:w="1092"/>
        <w:gridCol w:w="1092"/>
        <w:gridCol w:w="1092"/>
      </w:tblGrid>
      <w:tr>
        <w:trPr>
          <w:trHeight w:val="510" w:hRule="atLeast"/>
          <w:tblHeade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介護が必要になった場合の場所の希望</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町内を</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希望</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ind w:right="210" w:rightChars="100"/>
              <w:jc w:val="right"/>
              <w:rPr>
                <w:rFonts w:hint="default" w:ascii="メイリオ" w:hAnsi="メイリオ" w:eastAsia="メイリオ"/>
                <w:color w:val="000000" w:themeColor="text1"/>
              </w:rPr>
            </w:pPr>
            <w:r>
              <w:rPr>
                <w:rFonts w:hint="eastAsia" w:ascii="メイリオ" w:hAnsi="メイリオ" w:eastAsia="メイリオ"/>
                <w:color w:val="000000" w:themeColor="text1"/>
              </w:rPr>
              <w:t>69.2</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増加</w:t>
            </w:r>
          </w:p>
        </w:tc>
      </w:tr>
    </w:tbl>
    <w:p>
      <w:pPr>
        <w:pStyle w:val="21"/>
        <w:ind w:left="0" w:leftChars="0" w:right="210" w:firstLine="0" w:firstLineChars="0"/>
        <w:rPr>
          <w:rFonts w:hint="default"/>
          <w:color w:val="000000" w:themeColor="text1"/>
          <w:sz w:val="28"/>
        </w:rPr>
      </w:pPr>
    </w:p>
    <w:p>
      <w:pPr>
        <w:pStyle w:val="0"/>
        <w:widowControl w:val="1"/>
        <w:jc w:val="left"/>
        <w:rPr>
          <w:rFonts w:hint="default" w:ascii="メイリオ" w:hAnsi="メイリオ" w:eastAsia="メイリオ"/>
          <w:color w:val="000000" w:themeColor="text1"/>
          <w:sz w:val="28"/>
        </w:rPr>
      </w:pPr>
      <w:r>
        <w:rPr>
          <w:rFonts w:hint="default"/>
          <w:color w:val="000000" w:themeColor="text1"/>
          <w:sz w:val="28"/>
        </w:rPr>
        <w:br w:type="page"/>
      </w:r>
      <w:r>
        <w:rPr>
          <w:rFonts w:hint="eastAsia" w:ascii="メイリオ" w:hAnsi="メイリオ" w:eastAsia="メイリオ"/>
          <w:color w:val="000000" w:themeColor="text1"/>
          <w:sz w:val="28"/>
        </w:rPr>
        <w:t>基本目標２　</w:t>
      </w:r>
    </w:p>
    <w:p>
      <w:pPr>
        <w:pStyle w:val="38"/>
        <w:ind w:firstLine="280" w:firstLineChars="100"/>
        <w:rPr>
          <w:rFonts w:hint="default"/>
          <w:color w:val="000000" w:themeColor="text1"/>
        </w:rPr>
      </w:pPr>
      <w:bookmarkStart w:id="31" w:name="_Toc154129937"/>
      <w:r>
        <w:rPr>
          <w:rFonts w:hint="eastAsia"/>
          <w:color w:val="000000" w:themeColor="text1"/>
        </w:rPr>
        <w:t>日々の生活に楽しみが持て、つながりや支え合いを大切にできる地域づくり</w:t>
      </w:r>
      <w:bookmarkEnd w:id="31"/>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交流、社会参加の推進</w:t>
      </w:r>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の世代が変化していく中で、求められている交流や社会参加のあり方を検討していきます。交流や社会参加の推進を「自分の居場所の確保」や「介護予防」「生活の質の向上」に位置づけてきましたが、加えて、「多世代交流の場」や「安否確認の場」も含めた交流のあり方を模索していく必要があります。</w:t>
      </w:r>
    </w:p>
    <w:p>
      <w:pPr>
        <w:pStyle w:val="0"/>
        <w:widowControl w:val="1"/>
        <w:ind w:firstLine="240" w:firstLineChars="100"/>
        <w:jc w:val="left"/>
        <w:rPr>
          <w:rFonts w:hint="default" w:ascii="メイリオ" w:hAnsi="メイリオ" w:eastAsia="メイリオ"/>
          <w:color w:val="000000" w:themeColor="text1"/>
          <w:sz w:val="24"/>
        </w:rPr>
      </w:pPr>
    </w:p>
    <w:tbl>
      <w:tblPr>
        <w:tblStyle w:val="11"/>
        <w:tblW w:w="8515" w:type="dxa"/>
        <w:tblInd w:w="-15" w:type="dxa"/>
        <w:tblLayout w:type="fixed"/>
        <w:tblLook w:firstRow="1" w:lastRow="0" w:firstColumn="1" w:lastColumn="0" w:noHBand="0" w:noVBand="1" w:val="04A0"/>
      </w:tblPr>
      <w:tblGrid>
        <w:gridCol w:w="417"/>
        <w:gridCol w:w="2638"/>
        <w:gridCol w:w="5460"/>
      </w:tblGrid>
      <w:tr>
        <w:trPr>
          <w:trHeight w:val="510" w:hRule="atLeast"/>
          <w:tblHeade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38"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5"/>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38"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高齢者が交流できる場の情報発信</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高齢者の社会参加等の情報を発信する仕組みを検討します。</w:t>
            </w:r>
          </w:p>
        </w:tc>
      </w:tr>
      <w:tr>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5"/>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38"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社会参加と生きがいづくりの場の整備</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高齢者のニーズに合った交流のあり方について、関係機関と広く協議していきます。</w:t>
            </w:r>
          </w:p>
        </w:tc>
      </w:tr>
      <w:tr>
        <w:trPr>
          <w:trHeight w:val="77" w:hRule="atLeast"/>
        </w:trPr>
        <w:tc>
          <w:tcPr>
            <w:tcW w:w="417"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5"/>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38"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各施設における交流事業の推進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要介護状態になっても今まで築いてきた地域との交流が途絶えることのないよう、社会とのつながりが維持された生活の継続を推進していきます。</w:t>
            </w:r>
          </w:p>
        </w:tc>
      </w:tr>
    </w:tbl>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3045"/>
        <w:gridCol w:w="1092"/>
        <w:gridCol w:w="1092"/>
        <w:gridCol w:w="1092"/>
        <w:gridCol w:w="1092"/>
        <w:gridCol w:w="1092"/>
      </w:tblGrid>
      <w:tr>
        <w:trPr>
          <w:trHeight w:val="510" w:hRule="atLeast"/>
          <w:tblHeade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1217" w:hRule="atLeast"/>
        </w:trPr>
        <w:tc>
          <w:tcPr>
            <w:tcW w:w="3045" w:type="dxa"/>
            <w:tcBorders>
              <w:top w:val="single" w:color="A6A6A6" w:themeColor="background1" w:themeShade="A6" w:sz="4" w:space="0"/>
              <w:left w:val="single" w:color="A6A6A6" w:themeColor="background1" w:themeShade="A6" w:sz="4"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交流や社会参加の情報発信の回数</w:t>
            </w:r>
          </w:p>
        </w:tc>
        <w:tc>
          <w:tcPr>
            <w:tcW w:w="1092" w:type="dxa"/>
            <w:tcBorders>
              <w:top w:val="single" w:color="A6A6A6" w:themeColor="background1" w:themeShade="A6" w:sz="4" w:space="0"/>
              <w:left w:val="single" w:color="A6A6A6" w:themeColor="background1" w:themeShade="A6" w:sz="4" w:space="0"/>
              <w:bottom w:val="single" w:color="auto"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回数</w:t>
            </w:r>
          </w:p>
        </w:tc>
        <w:tc>
          <w:tcPr>
            <w:tcW w:w="1092" w:type="dxa"/>
            <w:tcBorders>
              <w:top w:val="single" w:color="A6A6A6" w:themeColor="background1" w:themeShade="A6" w:sz="4" w:space="0"/>
              <w:left w:val="single" w:color="A6A6A6" w:themeColor="background1" w:themeShade="A6" w:sz="4" w:space="0"/>
              <w:bottom w:val="single" w:color="auto"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single" w:color="A6A6A6" w:themeColor="background1" w:themeShade="A6" w:sz="4" w:space="0"/>
              <w:bottom w:val="single" w:color="auto"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dotted" w:color="A6A6A6" w:sz="4" w:space="0"/>
              <w:bottom w:val="single" w:color="auto"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dotted" w:color="A6A6A6" w:themeColor="background1" w:themeShade="A6" w:sz="4" w:space="0"/>
              <w:bottom w:val="single" w:color="auto"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r>
      <w:tr>
        <w:trPr>
          <w:trHeight w:val="519" w:hRule="atLeast"/>
        </w:trPr>
        <w:tc>
          <w:tcPr>
            <w:tcW w:w="3045"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地域活動への参加者としての参加意向</w:t>
            </w:r>
          </w:p>
        </w:tc>
        <w:tc>
          <w:tcPr>
            <w:tcW w:w="1092"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参加してもよい</w:t>
            </w:r>
          </w:p>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uto"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44.4</w:t>
            </w:r>
          </w:p>
        </w:tc>
        <w:tc>
          <w:tcPr>
            <w:tcW w:w="1092" w:type="dxa"/>
            <w:tcBorders>
              <w:top w:val="single" w:color="auto"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uto"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1092" w:type="dxa"/>
            <w:tcBorders>
              <w:top w:val="single" w:color="auto"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増加</w:t>
            </w:r>
          </w:p>
        </w:tc>
      </w:tr>
    </w:tbl>
    <w:p>
      <w:pPr>
        <w:pStyle w:val="40"/>
        <w:rPr>
          <w:rFonts w:hint="default"/>
          <w:color w:val="000000" w:themeColor="text1"/>
        </w:rPr>
      </w:pPr>
      <w:r>
        <w:rPr>
          <w:rFonts w:hint="eastAsia"/>
          <w:color w:val="000000" w:themeColor="text1"/>
        </w:rPr>
        <w:t>２　ボランティアの推進</w:t>
      </w:r>
      <w:r>
        <w:rPr>
          <w:rFonts w:hint="default"/>
          <w:color w:val="000000" w:themeColor="text1"/>
        </w:rPr>
        <w:tab/>
      </w:r>
    </w:p>
    <w:p>
      <w:pPr>
        <w:pStyle w:val="40"/>
        <w:ind w:firstLine="240" w:firstLineChars="100"/>
        <w:rPr>
          <w:rFonts w:hint="default"/>
          <w:color w:val="000000" w:themeColor="text1"/>
        </w:rPr>
      </w:pPr>
      <w:r>
        <w:rPr>
          <w:rFonts w:hint="eastAsia"/>
          <w:b w:val="0"/>
          <w:color w:val="000000" w:themeColor="text1"/>
        </w:rPr>
        <w:t>高齢者が今まで培った経験や得意分野を生かすことで生きがいづくりや介護予防につながることを目的に、また、活動できる高齢者を増やすことで高齢者が介護認定に至る期間を少しでも短くできるよう、ボランティア活動への支援を推進します。</w:t>
      </w:r>
    </w:p>
    <w:tbl>
      <w:tblPr>
        <w:tblStyle w:val="11"/>
        <w:tblpPr w:leftFromText="0" w:rightFromText="0" w:topFromText="0" w:bottomFromText="0" w:vertAnchor="text" w:horzAnchor="margin" w:tblpXSpec="left" w:tblpY="587"/>
        <w:tblOverlap w:val="never"/>
        <w:tblW w:w="8505" w:type="dxa"/>
        <w:tblLayout w:type="fixed"/>
        <w:tblLook w:firstRow="1" w:lastRow="0" w:firstColumn="1" w:lastColumn="0" w:noHBand="0" w:noVBand="1" w:val="04A0"/>
      </w:tblPr>
      <w:tblGrid>
        <w:gridCol w:w="420"/>
        <w:gridCol w:w="2625"/>
        <w:gridCol w:w="5460"/>
      </w:tblGrid>
      <w:tr>
        <w:trPr>
          <w:trHeight w:val="510" w:hRule="atLeast"/>
          <w:tblHeader/>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6"/>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生活支援コーディネーターによる地域課題の把握</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地域課題を解決できる人材の発掘に向けて協議していきます。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6"/>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就労的活動の促進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役割を持つ高齢者の活動の場を促進するために、生活支援体制整備事業の中で協議していきます。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6"/>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社会福祉協議会が実施する事業との連携強化</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現在就労センターや配食サービスのボランティア等の事業を運営している社会福祉協議会と連携し、より住民のニーズに合った活動となるよう検討していきます。</w:t>
            </w:r>
          </w:p>
        </w:tc>
      </w:tr>
      <w:tr>
        <w:trPr>
          <w:trHeight w:val="77"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6"/>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ボランティアポイント事業の導入</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元気な高齢者が地域活動に貢献できるような仕組みとして事業化を検討します。</w:t>
            </w:r>
          </w:p>
        </w:tc>
      </w:tr>
    </w:tbl>
    <w:p>
      <w:pPr>
        <w:pStyle w:val="40"/>
        <w:ind w:firstLine="240" w:firstLineChars="100"/>
        <w:rPr>
          <w:rFonts w:hint="default"/>
          <w:color w:val="000000" w:themeColor="text1"/>
        </w:rPr>
      </w:pPr>
    </w:p>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3045"/>
        <w:gridCol w:w="1092"/>
        <w:gridCol w:w="1092"/>
        <w:gridCol w:w="1092"/>
        <w:gridCol w:w="1092"/>
        <w:gridCol w:w="1092"/>
      </w:tblGrid>
      <w:tr>
        <w:trPr>
          <w:trHeight w:val="510" w:hRule="atLeast"/>
          <w:tblHeade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default"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858" w:hRule="atLeast"/>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社会福祉協議会にボランティアとして登録している人数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人数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23</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30</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35</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40</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３　災害や感染症対策に関わる体制整備</w:t>
      </w:r>
      <w:r>
        <w:rPr>
          <w:rFonts w:hint="default"/>
          <w:color w:val="000000" w:themeColor="text1"/>
        </w:rPr>
        <w:tab/>
      </w:r>
    </w:p>
    <w:p>
      <w:pPr>
        <w:pStyle w:val="40"/>
        <w:ind w:firstLine="240" w:firstLineChars="100"/>
        <w:rPr>
          <w:rFonts w:hint="default"/>
          <w:color w:val="000000" w:themeColor="text1"/>
        </w:rPr>
      </w:pPr>
      <w:r>
        <w:rPr>
          <w:rFonts w:hint="eastAsia"/>
          <w:b w:val="0"/>
          <w:color w:val="000000" w:themeColor="text1"/>
        </w:rPr>
        <w:t>高齢者は抵抗力が弱く、感染症を発症すると重症化する可能性が高いため、予防的な感染症対策や集団における感染拡大防止に向けた取り組みを引き続き検討していきます。また、</w:t>
      </w:r>
      <w:r>
        <w:rPr>
          <w:rFonts w:hint="default"/>
          <w:b w:val="0"/>
          <w:color w:val="000000" w:themeColor="text1"/>
        </w:rPr>
        <w:t>BCP</w:t>
      </w:r>
      <w:r>
        <w:rPr>
          <w:rFonts w:hint="default"/>
          <w:b w:val="0"/>
          <w:color w:val="000000" w:themeColor="text1"/>
        </w:rPr>
        <w:t>計画の円滑な実施に向けて町全体で共通理解の上、必要な取</w:t>
      </w:r>
      <w:r>
        <w:rPr>
          <w:rFonts w:hint="eastAsia"/>
          <w:b w:val="0"/>
          <w:color w:val="000000" w:themeColor="text1"/>
        </w:rPr>
        <w:t>り</w:t>
      </w:r>
      <w:r>
        <w:rPr>
          <w:rFonts w:hint="default"/>
          <w:b w:val="0"/>
          <w:color w:val="000000" w:themeColor="text1"/>
        </w:rPr>
        <w:t>組</w:t>
      </w:r>
      <w:r>
        <w:rPr>
          <w:rFonts w:hint="eastAsia"/>
          <w:b w:val="0"/>
          <w:color w:val="000000" w:themeColor="text1"/>
        </w:rPr>
        <w:t>み</w:t>
      </w:r>
      <w:r>
        <w:rPr>
          <w:rFonts w:hint="default"/>
          <w:b w:val="0"/>
          <w:color w:val="000000" w:themeColor="text1"/>
        </w:rPr>
        <w:t>を進めてい</w:t>
      </w:r>
      <w:r>
        <w:rPr>
          <w:rFonts w:hint="eastAsia"/>
          <w:b w:val="0"/>
          <w:color w:val="000000" w:themeColor="text1"/>
        </w:rPr>
        <w:t>きます。</w:t>
      </w:r>
      <w:r>
        <w:rPr>
          <w:rFonts w:hint="default"/>
          <w:b w:val="0"/>
          <w:color w:val="000000" w:themeColor="text1"/>
        </w:rPr>
        <w:t>高齢者訪問も継続実施し、平時から高齢者の安心と安全を確保してい</w:t>
      </w:r>
      <w:r>
        <w:rPr>
          <w:rFonts w:hint="eastAsia"/>
          <w:b w:val="0"/>
          <w:color w:val="000000" w:themeColor="text1"/>
        </w:rPr>
        <w:t>きます</w:t>
      </w:r>
      <w:r>
        <w:rPr>
          <w:rFonts w:hint="default"/>
          <w:b w:val="0"/>
          <w:color w:val="000000" w:themeColor="text1"/>
        </w:rPr>
        <w:t>。</w:t>
      </w:r>
    </w:p>
    <w:p>
      <w:pPr>
        <w:pStyle w:val="40"/>
        <w:ind w:firstLine="240" w:firstLineChars="100"/>
        <w:rPr>
          <w:rFonts w:hint="default"/>
          <w:color w:val="000000" w:themeColor="text1"/>
        </w:rPr>
      </w:pPr>
    </w:p>
    <w:tbl>
      <w:tblPr>
        <w:tblStyle w:val="11"/>
        <w:tblW w:w="8505" w:type="dxa"/>
        <w:tblInd w:w="-5" w:type="dxa"/>
        <w:tblLayout w:type="fixed"/>
        <w:tblLook w:firstRow="1" w:lastRow="0" w:firstColumn="1" w:lastColumn="0" w:noHBand="0" w:noVBand="1" w:val="04A0"/>
      </w:tblPr>
      <w:tblGrid>
        <w:gridCol w:w="420"/>
        <w:gridCol w:w="2625"/>
        <w:gridCol w:w="5460"/>
      </w:tblGrid>
      <w:tr>
        <w:trPr>
          <w:trHeight w:val="510" w:hRule="atLeast"/>
          <w:tblHeader/>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7"/>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地域ケア会議での対策の検討</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日ごろから介護サービス事業所等と連携し、感染症対策や災害対応について情報交換を行います。</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7"/>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地域包括支援センター等による訪問活動</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高齢者の生活状況を確認し、地域における要配慮者の把握に努めます。</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7"/>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陸別町版地域連携型ＢＣＰの構築</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災害や感染症流行時にもできるだけ円滑に介護サービスを提供するため、関係機関がＢＣＰ計画を円滑に実施することを支援します。</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21"/>
        <w:ind w:left="0" w:leftChars="0" w:right="210" w:firstLine="0" w:firstLineChars="0"/>
        <w:rPr>
          <w:rFonts w:hint="default"/>
          <w:color w:val="000000" w:themeColor="text1"/>
          <w:sz w:val="28"/>
        </w:rPr>
      </w:pPr>
      <w:r>
        <w:rPr>
          <w:rFonts w:hint="eastAsia"/>
          <w:color w:val="000000" w:themeColor="text1"/>
          <w:sz w:val="28"/>
        </w:rPr>
        <w:t>基本目標３　</w:t>
      </w:r>
    </w:p>
    <w:p>
      <w:pPr>
        <w:pStyle w:val="38"/>
        <w:ind w:firstLine="280" w:firstLineChars="100"/>
        <w:rPr>
          <w:rFonts w:hint="default"/>
          <w:color w:val="000000" w:themeColor="text1"/>
        </w:rPr>
      </w:pPr>
      <w:bookmarkStart w:id="32" w:name="_Toc154129938"/>
      <w:r>
        <w:rPr>
          <w:rFonts w:hint="eastAsia"/>
          <w:color w:val="000000" w:themeColor="text1"/>
        </w:rPr>
        <w:t>介護予防と重症化予防、自立支援の推進</w:t>
      </w:r>
      <w:bookmarkEnd w:id="32"/>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重症化予防と自立支援</w:t>
      </w:r>
      <w:r>
        <w:rPr>
          <w:rFonts w:hint="default"/>
          <w:color w:val="000000" w:themeColor="text1"/>
        </w:rPr>
        <w:tab/>
      </w:r>
    </w:p>
    <w:p>
      <w:pPr>
        <w:pStyle w:val="40"/>
        <w:ind w:firstLine="240" w:firstLineChars="100"/>
        <w:rPr>
          <w:rFonts w:hint="default"/>
          <w:color w:val="000000" w:themeColor="text1"/>
        </w:rPr>
      </w:pPr>
      <w:r>
        <w:rPr>
          <w:rFonts w:hint="eastAsia"/>
          <w:b w:val="0"/>
          <w:color w:val="000000" w:themeColor="text1"/>
        </w:rPr>
        <w:t>重症化防止と自立支援は介護保険法の重要な理念であり、本人が有する能力に応じた支援のあり方を調整するケアマネジメント力が要求されます。今後も各事業所とともに重症化予防や自立支援に取り組み、多職種連携を重視した上で、個々人の意向に沿った支援につながるよう検討していきます。また、医療と介護の連携強化により介護の重症化予防に向けて支援を検討していきます。</w:t>
      </w:r>
    </w:p>
    <w:tbl>
      <w:tblPr>
        <w:tblStyle w:val="11"/>
        <w:tblpPr w:leftFromText="0" w:rightFromText="0" w:topFromText="0" w:bottomFromText="0" w:vertAnchor="text" w:horzAnchor="margin" w:tblpXSpec="left" w:tblpY="558"/>
        <w:tblOverlap w:val="never"/>
        <w:tblW w:w="8505" w:type="dxa"/>
        <w:tblLayout w:type="fixed"/>
        <w:tblLook w:firstRow="1" w:lastRow="0" w:firstColumn="1" w:lastColumn="0" w:noHBand="0" w:noVBand="1" w:val="04A0"/>
      </w:tblPr>
      <w:tblGrid>
        <w:gridCol w:w="420"/>
        <w:gridCol w:w="2625"/>
        <w:gridCol w:w="5460"/>
      </w:tblGrid>
      <w:tr>
        <w:trPr>
          <w:trHeight w:val="475" w:hRule="atLeast"/>
          <w:tblHeader/>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8"/>
              </w:numPr>
              <w:snapToGrid w:val="0"/>
              <w:spacing w:before="72" w:beforeLines="0" w:beforeAutospacing="0" w:after="72" w:afterLines="0" w:afterAutospacing="0" w:line="280" w:lineRule="exact"/>
              <w:ind w:left="27" w:leftChars="13" w:right="29" w:rightChars="14" w:firstLine="1"/>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ケアマネジメント支援</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地域包括支援センターが個別のケアプランを確認していきます。</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8"/>
              </w:numPr>
              <w:snapToGrid w:val="0"/>
              <w:spacing w:before="72" w:beforeLines="0" w:beforeAutospacing="0" w:after="72" w:afterLines="0" w:afterAutospacing="0" w:line="280" w:lineRule="exact"/>
              <w:ind w:left="54" w:leftChars="13" w:hanging="27"/>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多職種連携による自立支援の取り組み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要介護状態になっても介護の重症化を予防し、多職種で意見を交わしながら支援を重ねていく取り組みを重視していきます。</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8"/>
              </w:numPr>
              <w:snapToGrid w:val="0"/>
              <w:spacing w:before="72" w:beforeLines="0" w:beforeAutospacing="0" w:after="72" w:afterLines="0" w:afterAutospacing="0" w:line="280" w:lineRule="exact"/>
              <w:ind w:left="27" w:leftChars="13" w:firstLine="2"/>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リハビリ専門職との連携強化</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理学療法士の専門性を地域に生かすことで、介護予防や介護の重症化予防に努めます。</w:t>
            </w:r>
          </w:p>
        </w:tc>
      </w:tr>
      <w:tr>
        <w:trPr>
          <w:trHeight w:val="984" w:hRule="atLeast"/>
        </w:trPr>
        <w:tc>
          <w:tcPr>
            <w:tcW w:w="42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8"/>
              </w:numPr>
              <w:snapToGrid w:val="0"/>
              <w:spacing w:before="72" w:beforeLines="0" w:beforeAutospacing="0" w:after="72" w:afterLines="0" w:afterAutospacing="0" w:line="280" w:lineRule="exact"/>
              <w:ind w:left="83" w:leftChars="13" w:hanging="56"/>
              <w:jc w:val="center"/>
              <w:rPr>
                <w:rFonts w:hint="default" w:ascii="メイリオ" w:hAnsi="メイリオ" w:eastAsia="メイリオ"/>
                <w:color w:val="000000" w:themeColor="text1"/>
              </w:rPr>
            </w:pPr>
          </w:p>
        </w:tc>
        <w:tc>
          <w:tcPr>
            <w:tcW w:w="2625"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ふまねっと運動の推進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歩行機能・認知機能の維持・改善に効果を上げている「ふまねっと運動」を推進し、介護予防に努めます。</w:t>
            </w:r>
          </w:p>
        </w:tc>
      </w:tr>
    </w:tbl>
    <w:p>
      <w:pPr>
        <w:pStyle w:val="40"/>
        <w:ind w:firstLine="240" w:firstLineChars="10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5" w:type="dxa"/>
        <w:tblInd w:w="-5" w:type="dxa"/>
        <w:tblLayout w:type="fixed"/>
        <w:tblLook w:firstRow="1" w:lastRow="0" w:firstColumn="1" w:lastColumn="0" w:noHBand="0" w:noVBand="1" w:val="04A0"/>
      </w:tblPr>
      <w:tblGrid>
        <w:gridCol w:w="3045"/>
        <w:gridCol w:w="1092"/>
        <w:gridCol w:w="1092"/>
        <w:gridCol w:w="1092"/>
        <w:gridCol w:w="1092"/>
        <w:gridCol w:w="1092"/>
      </w:tblGrid>
      <w:tr>
        <w:trPr>
          <w:trHeight w:val="510" w:hRule="atLeast"/>
          <w:tblHeader/>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950" w:hRule="atLeast"/>
        </w:trPr>
        <w:tc>
          <w:tcPr>
            <w:tcW w:w="304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理学療法士の招聘回数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回数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12</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12</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12</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12</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２　介護予防と健康づくり</w:t>
      </w:r>
      <w:r>
        <w:rPr>
          <w:rFonts w:hint="default"/>
          <w:color w:val="000000" w:themeColor="text1"/>
        </w:rPr>
        <w:tab/>
      </w:r>
    </w:p>
    <w:p>
      <w:pPr>
        <w:pStyle w:val="40"/>
        <w:ind w:firstLine="240" w:firstLineChars="100"/>
        <w:rPr>
          <w:rFonts w:hint="default"/>
          <w:color w:val="000000" w:themeColor="text1"/>
        </w:rPr>
      </w:pPr>
      <w:r>
        <w:rPr>
          <w:rFonts w:hint="eastAsia"/>
          <w:b w:val="0"/>
          <w:color w:val="000000" w:themeColor="text1"/>
        </w:rPr>
        <w:t>高齢になっても住み慣れた町で自立した生活を続けるためには健康であることが何より重要であり、団塊の世代が</w:t>
      </w:r>
      <w:r>
        <w:rPr>
          <w:rFonts w:hint="eastAsia"/>
          <w:b w:val="0"/>
          <w:color w:val="000000" w:themeColor="text1"/>
        </w:rPr>
        <w:t>75</w:t>
      </w:r>
      <w:r>
        <w:rPr>
          <w:rFonts w:hint="eastAsia"/>
          <w:b w:val="0"/>
          <w:color w:val="000000" w:themeColor="text1"/>
        </w:rPr>
        <w:t>歳以上となる令和７年に向け、より一層個人の健康づくりと介護予防を推進していく必要があります。陸別町では「陸別町特定健診等実施計画」の中で、保健師による未受診者勧奨や保健指導が位置づけられており、引き続き、介護認定に至る前の段階（</w:t>
      </w:r>
      <w:r>
        <w:rPr>
          <w:rFonts w:hint="eastAsia"/>
          <w:b w:val="0"/>
          <w:color w:val="000000" w:themeColor="text1"/>
        </w:rPr>
        <w:t>74</w:t>
      </w:r>
      <w:r>
        <w:rPr>
          <w:rFonts w:hint="eastAsia"/>
          <w:b w:val="0"/>
          <w:color w:val="000000" w:themeColor="text1"/>
        </w:rPr>
        <w:t>歳～</w:t>
      </w:r>
      <w:r>
        <w:rPr>
          <w:rFonts w:hint="eastAsia"/>
          <w:b w:val="0"/>
          <w:color w:val="000000" w:themeColor="text1"/>
        </w:rPr>
        <w:t>80</w:t>
      </w:r>
      <w:r>
        <w:rPr>
          <w:rFonts w:hint="eastAsia"/>
          <w:b w:val="0"/>
          <w:color w:val="000000" w:themeColor="text1"/>
        </w:rPr>
        <w:t>歳まで）をターゲットに後期高齢者健診の受診勧奨を実施していきます。また、後期高齢者になっても健診の受診が必要だという文化を構築していきます。健康づくりにおいては、保健師を有効活用してもらえるよう周知啓蒙し新たな介護予防の場を展開していきます。</w:t>
      </w:r>
    </w:p>
    <w:p>
      <w:pPr>
        <w:pStyle w:val="40"/>
        <w:ind w:firstLine="240" w:firstLineChars="100"/>
        <w:rPr>
          <w:rFonts w:hint="default"/>
          <w:color w:val="000000" w:themeColor="text1"/>
        </w:rPr>
      </w:pPr>
    </w:p>
    <w:tbl>
      <w:tblPr>
        <w:tblStyle w:val="11"/>
        <w:tblW w:w="8500" w:type="dxa"/>
        <w:tblInd w:w="0" w:type="dxa"/>
        <w:tblLayout w:type="fixed"/>
        <w:tblLook w:firstRow="1" w:lastRow="0" w:firstColumn="1" w:lastColumn="0" w:noHBand="0" w:noVBand="1" w:val="04A0"/>
      </w:tblPr>
      <w:tblGrid>
        <w:gridCol w:w="426"/>
        <w:gridCol w:w="2614"/>
        <w:gridCol w:w="5460"/>
      </w:tblGrid>
      <w:tr>
        <w:trPr>
          <w:trHeight w:val="510" w:hRule="atLeast"/>
          <w:tblHeade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9"/>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後期高齢者健診の受診勧奨</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該当者に健診の案内を通知する等で、受診勧奨を行っていきます。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9"/>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健康教育や健康相談の実施</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高齢者の集いの場に保健師が出向き、個別の健康相談等に対応します。</w:t>
            </w:r>
          </w:p>
        </w:tc>
      </w:tr>
      <w:tr>
        <w:trPr>
          <w:trHeight w:val="77"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9"/>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社会福祉協議会との業務連携及び生きがい活動の推進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高齢者が今まで培ってきた経験を地域に生かし、役割を持つことで介護予防につながるよう、社会福祉協議会と事業の目的を確認しながら連携していきます。</w:t>
            </w:r>
          </w:p>
        </w:tc>
      </w:tr>
      <w:tr>
        <w:trPr>
          <w:trHeight w:val="886" w:hRule="atLeast"/>
        </w:trPr>
        <w:tc>
          <w:tcPr>
            <w:tcW w:w="426" w:type="dxa"/>
            <w:tcBorders>
              <w:top w:val="single" w:color="A6A6A6" w:themeColor="background1" w:themeShade="A6" w:sz="4" w:space="0"/>
              <w:left w:val="single" w:color="A6A6A6" w:themeColor="background1" w:themeShade="A6" w:sz="4" w:space="0"/>
              <w:bottom w:val="single" w:color="B4C6E7" w:themeColor="accent1" w:themeTint="66" w:sz="8"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9"/>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B4C6E7" w:themeColor="accent1" w:themeTint="66" w:sz="8"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歯科訪問事業</w:t>
            </w:r>
          </w:p>
        </w:tc>
        <w:tc>
          <w:tcPr>
            <w:tcW w:w="5460" w:type="dxa"/>
            <w:tcBorders>
              <w:top w:val="single" w:color="A6A6A6" w:themeColor="background1" w:themeShade="A6" w:sz="4" w:space="0"/>
              <w:left w:val="single" w:color="A6A6A6" w:themeColor="background1" w:themeShade="A6" w:sz="4" w:space="0"/>
              <w:bottom w:val="single" w:color="B4C6E7" w:themeColor="accent1" w:themeTint="66" w:sz="8"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口腔衛生や咀嚼機能の低下を防止するため、歯科衛生士と連携し、高齢者の</w:t>
            </w:r>
            <w:r>
              <w:rPr>
                <w:rFonts w:hint="eastAsia" w:ascii="メイリオ" w:hAnsi="メイリオ" w:eastAsia="メイリオ"/>
                <w:color w:val="000000" w:themeColor="text1"/>
              </w:rPr>
              <w:t>QOL</w:t>
            </w:r>
            <w:r>
              <w:rPr>
                <w:rFonts w:hint="eastAsia" w:ascii="メイリオ" w:hAnsi="メイリオ" w:eastAsia="メイリオ"/>
                <w:color w:val="000000" w:themeColor="text1"/>
              </w:rPr>
              <w:t>の維持を支援します。</w:t>
            </w:r>
          </w:p>
        </w:tc>
      </w:tr>
      <w:tr>
        <w:trPr>
          <w:trHeight w:val="404" w:hRule="atLeast"/>
        </w:trPr>
        <w:tc>
          <w:tcPr>
            <w:tcW w:w="426" w:type="dxa"/>
            <w:tcBorders>
              <w:top w:val="single" w:color="B4C6E7" w:themeColor="accent1" w:themeTint="66" w:sz="8"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eastAsia" w:ascii="メイリオ" w:hAnsi="メイリオ" w:eastAsia="メイリオ"/>
                <w:b w:val="1"/>
                <w:color w:val="000000" w:themeColor="text1"/>
              </w:rPr>
            </w:pPr>
            <w:r>
              <w:rPr>
                <w:rFonts w:hint="eastAsia" w:ascii="メイリオ" w:hAnsi="メイリオ" w:eastAsia="メイリオ"/>
                <w:b w:val="1"/>
                <w:color w:val="000000" w:themeColor="text1"/>
              </w:rPr>
              <w:t>⑤</w:t>
            </w:r>
          </w:p>
        </w:tc>
        <w:tc>
          <w:tcPr>
            <w:tcW w:w="2614" w:type="dxa"/>
            <w:tcBorders>
              <w:top w:val="single" w:color="B4C6E7" w:themeColor="accent1" w:themeTint="66" w:sz="8"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eastAsia" w:ascii="メイリオ" w:hAnsi="メイリオ" w:eastAsia="メイリオ"/>
                <w:b w:val="1"/>
                <w:color w:val="000000" w:themeColor="text1"/>
              </w:rPr>
            </w:pPr>
            <w:r>
              <w:rPr>
                <w:rFonts w:hint="eastAsia" w:ascii="メイリオ" w:hAnsi="メイリオ" w:eastAsia="メイリオ"/>
                <w:b w:val="1"/>
                <w:color w:val="000000" w:themeColor="text1"/>
              </w:rPr>
              <w:t>生きがい活動支援事業の実施</w:t>
            </w:r>
          </w:p>
        </w:tc>
        <w:tc>
          <w:tcPr>
            <w:tcW w:w="5460" w:type="dxa"/>
            <w:tcBorders>
              <w:top w:val="single" w:color="B4C6E7" w:themeColor="accent1" w:themeTint="66" w:sz="8"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0" w:leftChars="0" w:right="63" w:rightChars="30" w:firstLine="210" w:firstLineChars="100"/>
              <w:rPr>
                <w:rFonts w:hint="eastAsia" w:ascii="メイリオ" w:hAnsi="メイリオ" w:eastAsia="メイリオ"/>
                <w:color w:val="000000" w:themeColor="text1"/>
              </w:rPr>
            </w:pPr>
            <w:r>
              <w:rPr>
                <w:rFonts w:hint="eastAsia" w:ascii="メイリオ" w:hAnsi="メイリオ" w:eastAsia="メイリオ"/>
                <w:color w:val="000000" w:themeColor="text1"/>
              </w:rPr>
              <w:t>要介護状態にならないために継続して通うことができる事業であるよう、事業内容を評価していきます。</w:t>
            </w:r>
          </w:p>
        </w:tc>
      </w:tr>
    </w:tbl>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0" w:type="dxa"/>
        <w:tblInd w:w="0" w:type="dxa"/>
        <w:tblLayout w:type="fixed"/>
        <w:tblLook w:firstRow="1" w:lastRow="0" w:firstColumn="1" w:lastColumn="0" w:noHBand="0" w:noVBand="1" w:val="04A0"/>
      </w:tblPr>
      <w:tblGrid>
        <w:gridCol w:w="3040"/>
        <w:gridCol w:w="1092"/>
        <w:gridCol w:w="1092"/>
        <w:gridCol w:w="1092"/>
        <w:gridCol w:w="1092"/>
        <w:gridCol w:w="1092"/>
      </w:tblGrid>
      <w:tr>
        <w:trPr>
          <w:trHeight w:val="510" w:hRule="atLeast"/>
          <w:tblHeader/>
        </w:trPr>
        <w:tc>
          <w:tcPr>
            <w:tcW w:w="30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757" w:hRule="atLeast"/>
        </w:trPr>
        <w:tc>
          <w:tcPr>
            <w:tcW w:w="30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後期高齢者健診の受診率</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受診率</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20.0</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sz w:val="18"/>
              </w:rPr>
              <w:t>※暫定値</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前年度</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以上</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前年度</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以上</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前年度</w:t>
            </w:r>
          </w:p>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以上</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21"/>
        <w:ind w:left="0" w:leftChars="0" w:right="210" w:firstLine="0" w:firstLineChars="0"/>
        <w:rPr>
          <w:rFonts w:hint="default"/>
          <w:color w:val="000000" w:themeColor="text1"/>
          <w:sz w:val="28"/>
        </w:rPr>
      </w:pPr>
      <w:r>
        <w:rPr>
          <w:rFonts w:hint="eastAsia"/>
          <w:color w:val="000000" w:themeColor="text1"/>
          <w:sz w:val="28"/>
        </w:rPr>
        <w:t>基本目標４　</w:t>
      </w:r>
    </w:p>
    <w:p>
      <w:pPr>
        <w:pStyle w:val="38"/>
        <w:ind w:firstLine="280" w:firstLineChars="100"/>
        <w:rPr>
          <w:rFonts w:hint="default"/>
          <w:color w:val="000000" w:themeColor="text1"/>
        </w:rPr>
      </w:pPr>
      <w:bookmarkStart w:id="33" w:name="_Toc154129939"/>
      <w:r>
        <w:rPr>
          <w:rFonts w:hint="eastAsia"/>
          <w:color w:val="000000" w:themeColor="text1"/>
        </w:rPr>
        <w:t>高齢者の尊厳を大切にした支援や権利擁護の推進</w:t>
      </w:r>
      <w:bookmarkEnd w:id="33"/>
      <w:r>
        <w:rPr>
          <w:rFonts w:hint="default"/>
          <w:color w:val="000000" w:themeColor="text1"/>
        </w:rPr>
        <w:tab/>
      </w:r>
    </w:p>
    <w:p>
      <w:pPr>
        <w:pStyle w:val="0"/>
        <w:widowControl w:val="1"/>
        <w:snapToGrid w:val="0"/>
        <w:spacing w:line="120" w:lineRule="auto"/>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認知症施策の充実</w:t>
      </w:r>
      <w:r>
        <w:rPr>
          <w:rFonts w:hint="default"/>
          <w:color w:val="000000" w:themeColor="text1"/>
        </w:rPr>
        <w:tab/>
      </w:r>
    </w:p>
    <w:p>
      <w:pPr>
        <w:pStyle w:val="40"/>
        <w:ind w:firstLine="240" w:firstLineChars="100"/>
        <w:rPr>
          <w:rFonts w:hint="default"/>
          <w:color w:val="000000" w:themeColor="text1"/>
        </w:rPr>
      </w:pPr>
      <w:r>
        <w:rPr>
          <w:rFonts w:hint="eastAsia"/>
          <w:b w:val="0"/>
          <w:color w:val="000000" w:themeColor="text1"/>
        </w:rPr>
        <w:t>当町は認知症を有する要介護認定者が多く、認知症の関わり方に悩みを抱えている介護者が多いことがアンケート調査の結果から出ています。陸別町に合ったスタイルで認知症施策を具体化し確立させていきます。また、認知症基本法の成立に関連し、認知症施策推進基本計画の内容も踏まえて施策を推進していきます。認知症になってもよりよい過ごし方や生き方をともに考えていくことができる地域であるよう、認知症の古い文化から脱し、新たな認知症観の獲得に向けて認知症施策全般の見直しを行います。</w:t>
      </w:r>
    </w:p>
    <w:tbl>
      <w:tblPr>
        <w:tblStyle w:val="11"/>
        <w:tblW w:w="8500" w:type="dxa"/>
        <w:tblInd w:w="0" w:type="dxa"/>
        <w:tblLayout w:type="fixed"/>
        <w:tblLook w:firstRow="1" w:lastRow="0" w:firstColumn="1" w:lastColumn="0" w:noHBand="0" w:noVBand="1" w:val="04A0"/>
      </w:tblPr>
      <w:tblGrid>
        <w:gridCol w:w="426"/>
        <w:gridCol w:w="2614"/>
        <w:gridCol w:w="5460"/>
      </w:tblGrid>
      <w:tr>
        <w:trPr>
          <w:trHeight w:val="510" w:hRule="atLeast"/>
          <w:tblHeade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rHeight w:val="77"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認知症ケアパスの周知・啓発</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平成</w:t>
            </w:r>
            <w:r>
              <w:rPr>
                <w:rFonts w:hint="eastAsia" w:ascii="メイリオ" w:hAnsi="メイリオ" w:eastAsia="メイリオ"/>
                <w:color w:val="000000" w:themeColor="text1"/>
              </w:rPr>
              <w:t>30</w:t>
            </w:r>
            <w:r>
              <w:rPr>
                <w:rFonts w:hint="eastAsia" w:ascii="メイリオ" w:hAnsi="メイリオ" w:eastAsia="メイリオ"/>
                <w:color w:val="000000" w:themeColor="text1"/>
              </w:rPr>
              <w:t>年度に作成した認知症ケアパスが活用されるよう周知を行い、随時内容を見直していきます。</w:t>
            </w:r>
          </w:p>
        </w:tc>
      </w:tr>
      <w:tr>
        <w:trPr>
          <w:trHeight w:val="77"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認知症初期集中支援チームの推進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認知症に対する支援が広い視野で展開できるよう、チームのあり方を検討していきます。</w:t>
            </w:r>
          </w:p>
        </w:tc>
      </w:tr>
      <w:tr>
        <w:trPr>
          <w:trHeight w:val="77"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認知症地域支援推進員による地域づくり</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認知症に関する相談や対応の充実を図るために、専任の推進員を整備していきます。</w:t>
            </w:r>
          </w:p>
        </w:tc>
      </w:tr>
      <w:tr>
        <w:trPr>
          <w:trHeight w:val="77"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認知症サポーター養成講座や講演会の実施</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幅広い年代に認知症サポーターを増やすことができるよう、周知及び企画を継続していきます。</w:t>
            </w:r>
          </w:p>
        </w:tc>
      </w:tr>
      <w:tr>
        <w:trPr>
          <w:trHeight w:val="444"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認知症カフェの充実</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｢ほっとカフェ｣が認知症カフェとして根付くよう、企画内容を充実させます。</w:t>
            </w:r>
          </w:p>
        </w:tc>
      </w:tr>
      <w:tr>
        <w:trPr>
          <w:trHeight w:val="735"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2"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チームオレンジの立ち上げ</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2"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認知症サポーター養成講座の受講修了生が地域で活躍できる場を創設していきます。</w:t>
            </w:r>
          </w:p>
        </w:tc>
      </w:tr>
      <w:tr>
        <w:trPr>
          <w:trHeight w:val="735" w:hRule="atLeast"/>
        </w:trPr>
        <w:tc>
          <w:tcPr>
            <w:tcW w:w="426" w:type="dxa"/>
            <w:tcBorders>
              <w:top w:val="single" w:color="A6A6A6" w:themeColor="background1" w:themeShade="A6" w:sz="4" w:space="0"/>
              <w:left w:val="single" w:color="A6A6A6" w:themeColor="background1" w:themeShade="A6" w:sz="4" w:space="0"/>
              <w:bottom w:val="single" w:color="A6A6A6" w:themeColor="background1" w:themeShade="A6" w:sz="2"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0"/>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u w:val="none" w:color="auto"/>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2"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u w:val="none" w:color="auto"/>
              </w:rPr>
            </w:pPr>
            <w:r>
              <w:rPr>
                <w:rFonts w:hint="eastAsia" w:ascii="メイリオ" w:hAnsi="メイリオ" w:eastAsia="メイリオ"/>
                <w:b w:val="1"/>
                <w:color w:val="000000" w:themeColor="text1"/>
                <w:u w:val="none" w:color="auto"/>
              </w:rPr>
              <w:t>陸別町認知症高齢者等</w:t>
            </w:r>
            <w:r>
              <w:rPr>
                <w:rFonts w:hint="eastAsia" w:ascii="メイリオ" w:hAnsi="メイリオ" w:eastAsia="メイリオ"/>
                <w:b w:val="1"/>
                <w:color w:val="000000" w:themeColor="text1"/>
                <w:u w:val="none" w:color="auto"/>
              </w:rPr>
              <w:t>SOS</w:t>
            </w:r>
            <w:r>
              <w:rPr>
                <w:rFonts w:hint="eastAsia" w:ascii="メイリオ" w:hAnsi="メイリオ" w:eastAsia="メイリオ"/>
                <w:b w:val="1"/>
                <w:color w:val="000000" w:themeColor="text1"/>
                <w:u w:val="none" w:color="auto"/>
              </w:rPr>
              <w:t>ネットワーク事業の継続実施</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2" w:space="0"/>
              <w:right w:val="single" w:color="A6A6A6" w:themeColor="background1" w:themeShade="A6" w:sz="4" w:space="0"/>
              <w:tl2br w:val="none" w:color="auto" w:sz="0" w:space="0"/>
              <w:tr2bl w:val="none" w:color="auto" w:sz="0" w:space="0"/>
            </w:tcBorders>
            <w:shd w:val="clear" w:color="auto" w:fill="auto"/>
            <w:vAlign w:val="center"/>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b w:val="0"/>
                <w:color w:val="000000" w:themeColor="text1"/>
                <w:u w:val="none" w:color="auto"/>
              </w:rPr>
            </w:pPr>
            <w:r>
              <w:rPr>
                <w:rFonts w:hint="eastAsia" w:ascii="メイリオ" w:hAnsi="メイリオ" w:eastAsia="メイリオ"/>
                <w:b w:val="0"/>
                <w:color w:val="000000" w:themeColor="text1"/>
                <w:u w:val="none" w:color="auto"/>
              </w:rPr>
              <w:t>事業の円滑な実施に向けて、町民への周知および協力機関との連携を図ります。</w:t>
            </w:r>
          </w:p>
        </w:tc>
      </w:tr>
    </w:tbl>
    <w:p>
      <w:pPr>
        <w:pStyle w:val="0"/>
        <w:widowControl w:val="1"/>
        <w:snapToGrid w:val="0"/>
        <w:spacing w:line="120" w:lineRule="auto"/>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W w:w="8500" w:type="dxa"/>
        <w:tblInd w:w="0" w:type="dxa"/>
        <w:tblLayout w:type="fixed"/>
        <w:tblLook w:firstRow="1" w:lastRow="0" w:firstColumn="1" w:lastColumn="0" w:noHBand="0" w:noVBand="1" w:val="04A0"/>
      </w:tblPr>
      <w:tblGrid>
        <w:gridCol w:w="3040"/>
        <w:gridCol w:w="1092"/>
        <w:gridCol w:w="1092"/>
        <w:gridCol w:w="1092"/>
        <w:gridCol w:w="1092"/>
        <w:gridCol w:w="1092"/>
      </w:tblGrid>
      <w:tr>
        <w:trPr>
          <w:trHeight w:val="510" w:hRule="atLeast"/>
          <w:tblHeader/>
        </w:trPr>
        <w:tc>
          <w:tcPr>
            <w:tcW w:w="30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rHeight w:val="792" w:hRule="atLeast"/>
        </w:trPr>
        <w:tc>
          <w:tcPr>
            <w:tcW w:w="30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認知症サポーター数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人数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210</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220</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230</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240</w:t>
            </w:r>
          </w:p>
        </w:tc>
      </w:tr>
    </w:tbl>
    <w:p>
      <w:pPr>
        <w:pStyle w:val="40"/>
        <w:rPr>
          <w:rFonts w:hint="default"/>
          <w:color w:val="000000" w:themeColor="text1"/>
        </w:rPr>
      </w:pPr>
      <w:r>
        <w:rPr>
          <w:rFonts w:hint="eastAsia"/>
          <w:color w:val="000000" w:themeColor="text1"/>
        </w:rPr>
        <w:t>２　権利擁護事業の推進</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陸別町社会福祉協議会に委託している成年後見実施機関と連携し、成年後見制度がより利用できる制度になるよう構築していきます。また、権利擁護として身寄りがいない高齢者に対応できるよう社会福祉協議会および保健福祉センター福祉担当と協議していきま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虐待対応については、早期に対応できるようマニュアルを見直すとともに、町民および各事業所へ予防に関する周知啓蒙を行っていきます。養護者に該当しない者からの虐待防止についても方策を講じていきます。</w:t>
      </w:r>
    </w:p>
    <w:p>
      <w:pPr>
        <w:pStyle w:val="0"/>
        <w:widowControl w:val="1"/>
        <w:ind w:firstLine="240" w:firstLineChars="100"/>
        <w:jc w:val="left"/>
        <w:rPr>
          <w:rFonts w:hint="default" w:ascii="メイリオ" w:hAnsi="メイリオ" w:eastAsia="メイリオ"/>
          <w:color w:val="000000" w:themeColor="text1"/>
          <w:sz w:val="24"/>
        </w:rPr>
      </w:pPr>
    </w:p>
    <w:tbl>
      <w:tblPr>
        <w:tblStyle w:val="11"/>
        <w:tblW w:w="8500" w:type="dxa"/>
        <w:tblInd w:w="0" w:type="dxa"/>
        <w:tblLayout w:type="fixed"/>
        <w:tblLook w:firstRow="1" w:lastRow="0" w:firstColumn="1" w:lastColumn="0" w:noHBand="0" w:noVBand="1" w:val="04A0"/>
      </w:tblPr>
      <w:tblGrid>
        <w:gridCol w:w="426"/>
        <w:gridCol w:w="2614"/>
        <w:gridCol w:w="5460"/>
      </w:tblGrid>
      <w:tr>
        <w:trPr>
          <w:trHeight w:val="510" w:hRule="atLeast"/>
          <w:tblHeade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w:t>
            </w: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取り組み</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spacing w:before="72" w:beforeLines="0" w:beforeAutospacing="0" w:after="72" w:afterLines="0" w:afterAutospacing="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内容</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高齢者虐待防止における継続的な取り組みの推進</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高齢者虐待通報の初期対応や苦情相談について迅速に行い、必要な対応を協議していきます。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成年後見実施機関の活動支援</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市民後見人養成講座の実施や成年後見制度の普及啓発等に協力していきます。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成年後見制度の周知と啓発</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必要としている町民が利用できる権利・制度であるよう、地域包括支援センターの相談対応や訪問活動を通して利用対象者の発掘に努めます。</w:t>
            </w:r>
          </w:p>
        </w:tc>
      </w:tr>
      <w:tr>
        <w:trPr/>
        <w:tc>
          <w:tcPr>
            <w:tcW w:w="426"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numPr>
                <w:ilvl w:val="0"/>
                <w:numId w:val="11"/>
              </w:numPr>
              <w:snapToGrid w:val="0"/>
              <w:spacing w:before="72" w:beforeLines="0" w:beforeAutospacing="0" w:after="72" w:afterLines="0" w:afterAutospacing="0" w:line="280" w:lineRule="exact"/>
              <w:jc w:val="center"/>
              <w:rPr>
                <w:rFonts w:hint="default" w:ascii="メイリオ" w:hAnsi="メイリオ" w:eastAsia="メイリオ"/>
                <w:color w:val="000000" w:themeColor="text1"/>
              </w:rPr>
            </w:pPr>
          </w:p>
        </w:tc>
        <w:tc>
          <w:tcPr>
            <w:tcW w:w="2614"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8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権利擁護支援の地域連携ネットワーク体制の協力</w:t>
            </w:r>
          </w:p>
        </w:tc>
        <w:tc>
          <w:tcPr>
            <w:tcW w:w="546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top"/>
          </w:tcPr>
          <w:p>
            <w:pPr>
              <w:pStyle w:val="0"/>
              <w:snapToGrid w:val="0"/>
              <w:spacing w:before="72" w:beforeLines="0" w:beforeAutospacing="0" w:after="72" w:afterLines="0" w:afterAutospacing="0" w:line="280" w:lineRule="exact"/>
              <w:ind w:left="63" w:leftChars="30" w:right="63" w:rightChars="30" w:firstLine="210" w:firstLineChars="100"/>
              <w:rPr>
                <w:rFonts w:hint="default" w:ascii="メイリオ" w:hAnsi="メイリオ" w:eastAsia="メイリオ"/>
                <w:color w:val="000000" w:themeColor="text1"/>
              </w:rPr>
            </w:pPr>
            <w:r>
              <w:rPr>
                <w:rFonts w:hint="eastAsia" w:ascii="メイリオ" w:hAnsi="メイリオ" w:eastAsia="メイリオ"/>
                <w:color w:val="000000" w:themeColor="text1"/>
              </w:rPr>
              <w:t>権利擁護支援の地域連携ネットワーク体制を確立するために、中核機関を整備できるよう検討します。</w:t>
            </w:r>
          </w:p>
        </w:tc>
      </w:tr>
    </w:tbl>
    <w:p>
      <w:pPr>
        <w:pStyle w:val="40"/>
        <w:rPr>
          <w:rFonts w:hint="default"/>
          <w:color w:val="000000" w:themeColor="text1"/>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【取り組み目標】</w:t>
      </w:r>
    </w:p>
    <w:tbl>
      <w:tblPr>
        <w:tblStyle w:val="11"/>
        <w:tblpPr w:leftFromText="0" w:rightFromText="0" w:topFromText="0" w:bottomFromText="0" w:vertAnchor="text" w:horzAnchor="margin" w:tblpX="78" w:tblpY="66"/>
        <w:tblOverlap w:val="never"/>
        <w:tblW w:w="8428" w:type="dxa"/>
        <w:tblLayout w:type="fixed"/>
        <w:tblLook w:firstRow="1" w:lastRow="0" w:firstColumn="1" w:lastColumn="0" w:noHBand="0" w:noVBand="1" w:val="04A0"/>
      </w:tblPr>
      <w:tblGrid>
        <w:gridCol w:w="2968"/>
        <w:gridCol w:w="1092"/>
        <w:gridCol w:w="1092"/>
        <w:gridCol w:w="1092"/>
        <w:gridCol w:w="1092"/>
        <w:gridCol w:w="1092"/>
      </w:tblGrid>
      <w:tr>
        <w:trPr>
          <w:trHeight w:val="510" w:hRule="atLeast"/>
          <w:tblHeader/>
        </w:trPr>
        <w:tc>
          <w:tcPr>
            <w:tcW w:w="296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指標</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単位</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現状値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w:t>
            </w:r>
            <w:r>
              <w:rPr>
                <w:rFonts w:hint="eastAsia" w:ascii="メイリオ" w:hAnsi="メイリオ" w:eastAsia="メイリオ"/>
                <w:color w:val="000000" w:themeColor="text1"/>
              </w:rPr>
              <w:t>R5</w:t>
            </w:r>
            <w:r>
              <w:rPr>
                <w:rFonts w:hint="eastAsia" w:ascii="メイリオ" w:hAnsi="メイリオ" w:eastAsia="メイリオ"/>
                <w:color w:val="000000" w:themeColor="text1"/>
              </w:rPr>
              <w:t>）</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R6</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R7</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R8</w:t>
            </w:r>
          </w:p>
        </w:tc>
      </w:tr>
      <w:tr>
        <w:trPr/>
        <w:tc>
          <w:tcPr>
            <w:tcW w:w="296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中核機関の設置</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設置数</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（か所）</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0</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w:t>
            </w:r>
          </w:p>
        </w:tc>
      </w:tr>
      <w:tr>
        <w:trPr/>
        <w:tc>
          <w:tcPr>
            <w:tcW w:w="296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before="72" w:beforeLines="0" w:beforeAutospacing="0" w:after="72" w:afterLines="0" w:afterAutospacing="0" w:line="240" w:lineRule="exact"/>
              <w:jc w:val="left"/>
              <w:rPr>
                <w:rFonts w:hint="default" w:ascii="メイリオ" w:hAnsi="メイリオ" w:eastAsia="メイリオ"/>
                <w:b w:val="1"/>
                <w:color w:val="000000" w:themeColor="text1"/>
              </w:rPr>
            </w:pPr>
            <w:r>
              <w:rPr>
                <w:rFonts w:hint="eastAsia" w:ascii="メイリオ" w:hAnsi="メイリオ" w:eastAsia="メイリオ"/>
                <w:b w:val="1"/>
                <w:color w:val="000000" w:themeColor="text1"/>
              </w:rPr>
              <w:t>後見支援員の登録数</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登録者数</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（人）</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17</w:t>
            </w:r>
          </w:p>
        </w:tc>
        <w:tc>
          <w:tcPr>
            <w:tcW w:w="1092"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25</w:t>
            </w:r>
          </w:p>
        </w:tc>
        <w:tc>
          <w:tcPr>
            <w:tcW w:w="1092" w:type="dxa"/>
            <w:tcBorders>
              <w:top w:val="single" w:color="A6A6A6" w:themeColor="background1" w:themeShade="A6" w:sz="4" w:space="0"/>
              <w:left w:val="dotted" w:color="A6A6A6" w:sz="4" w:space="0"/>
              <w:bottom w:val="single" w:color="A6A6A6" w:themeColor="background1" w:themeShade="A6" w:sz="4" w:space="0"/>
              <w:right w:val="dotted" w:color="A6A6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25</w:t>
            </w:r>
          </w:p>
        </w:tc>
        <w:tc>
          <w:tcPr>
            <w:tcW w:w="1092"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napToGrid w:val="0"/>
              <w:spacing w:before="72" w:beforeLines="0" w:beforeAutospacing="0" w:after="72" w:afterLines="0" w:afterAutospacing="0"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25</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b w:val="1"/>
          <w:color w:val="000000" w:themeColor="text1"/>
          <w:sz w:val="32"/>
        </w:rPr>
      </w:pPr>
      <w:bookmarkStart w:id="34" w:name="_Toc154129940"/>
      <w:r>
        <w:rPr>
          <w:rFonts w:hint="default"/>
          <w:color w:val="000000" w:themeColor="text1"/>
        </w:rPr>
        <w:br w:type="page"/>
      </w:r>
    </w:p>
    <w:p>
      <w:pPr>
        <w:pStyle w:val="36"/>
        <w:rPr>
          <w:rFonts w:hint="default"/>
          <w:color w:val="000000" w:themeColor="text1"/>
        </w:rPr>
      </w:pPr>
      <w:r>
        <w:rPr>
          <w:rFonts w:hint="eastAsia"/>
          <w:color w:val="000000" w:themeColor="text1"/>
        </w:rPr>
        <w:t>第５章　介護保険サービスの見込みと保険料の算出</w:t>
      </w:r>
      <w:bookmarkEnd w:id="34"/>
    </w:p>
    <w:p>
      <w:pPr>
        <w:pStyle w:val="0"/>
        <w:widowControl w:val="1"/>
        <w:jc w:val="left"/>
        <w:rPr>
          <w:rFonts w:hint="default" w:ascii="メイリオ" w:hAnsi="メイリオ" w:eastAsia="メイリオ"/>
          <w:color w:val="000000" w:themeColor="text1"/>
          <w:sz w:val="24"/>
        </w:rPr>
      </w:pPr>
      <w:bookmarkStart w:id="35" w:name="_Toc154129941"/>
    </w:p>
    <w:p>
      <w:pPr>
        <w:pStyle w:val="38"/>
        <w:rPr>
          <w:rFonts w:hint="default"/>
          <w:color w:val="000000" w:themeColor="text1"/>
        </w:rPr>
      </w:pPr>
      <w:r>
        <w:rPr>
          <w:rFonts w:hint="eastAsia"/>
          <w:color w:val="000000" w:themeColor="text1"/>
        </w:rPr>
        <w:t>第１節　介護保険サービスの見込量算出にあたっての前提</w:t>
      </w:r>
      <w:bookmarkEnd w:id="35"/>
    </w:p>
    <w:p>
      <w:pPr>
        <w:pStyle w:val="40"/>
        <w:rPr>
          <w:rFonts w:hint="default"/>
          <w:color w:val="000000" w:themeColor="text1"/>
          <w:sz w:val="20"/>
        </w:rPr>
      </w:pPr>
    </w:p>
    <w:p>
      <w:pPr>
        <w:pStyle w:val="40"/>
        <w:rPr>
          <w:rFonts w:hint="default"/>
          <w:color w:val="000000" w:themeColor="text1"/>
        </w:rPr>
      </w:pPr>
      <w:r>
        <w:rPr>
          <w:rFonts w:hint="eastAsia"/>
          <w:color w:val="000000" w:themeColor="text1"/>
        </w:rPr>
        <w:t>１　被保険者数の推計</w:t>
      </w:r>
      <w:r>
        <w:rPr>
          <w:rFonts w:hint="default"/>
          <w:color w:val="000000" w:themeColor="text1"/>
        </w:rPr>
        <w:tab/>
      </w:r>
    </w:p>
    <w:tbl>
      <w:tblPr>
        <w:tblStyle w:val="64"/>
        <w:tblpPr w:leftFromText="142" w:rightFromText="142" w:topFromText="0" w:bottomFromText="0" w:vertAnchor="page" w:horzAnchor="margin" w:tblpXSpec="center" w:tblpY="5404"/>
        <w:tblW w:w="0" w:type="auto"/>
        <w:tblLayout w:type="fixed"/>
        <w:tblLook w:firstRow="1" w:lastRow="0" w:firstColumn="1" w:lastColumn="0" w:noHBand="0" w:noVBand="1" w:val="04A0"/>
      </w:tblPr>
      <w:tblGrid>
        <w:gridCol w:w="1510"/>
        <w:gridCol w:w="735"/>
        <w:gridCol w:w="735"/>
        <w:gridCol w:w="735"/>
        <w:gridCol w:w="766"/>
        <w:gridCol w:w="766"/>
        <w:gridCol w:w="766"/>
        <w:gridCol w:w="766"/>
        <w:gridCol w:w="766"/>
        <w:gridCol w:w="766"/>
        <w:gridCol w:w="766"/>
        <w:gridCol w:w="767"/>
      </w:tblGrid>
      <w:tr>
        <w:trPr>
          <w:trHeight w:val="377" w:hRule="atLeast"/>
        </w:trPr>
        <w:tc>
          <w:tcPr>
            <w:tcW w:w="1510" w:type="dxa"/>
            <w:vMerge w:val="restart"/>
            <w:tcBorders>
              <w:top w:val="single"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top"/>
          </w:tcPr>
          <w:p>
            <w:pPr>
              <w:pStyle w:val="21"/>
              <w:ind w:left="0" w:leftChars="0" w:right="210" w:firstLine="0" w:firstLineChars="0"/>
              <w:rPr>
                <w:rFonts w:hint="eastAsia" w:ascii="メイリオ" w:hAnsi="メイリオ" w:eastAsia="メイリオ"/>
                <w:color w:val="000000" w:themeColor="text1"/>
                <w:sz w:val="16"/>
              </w:rPr>
            </w:pPr>
          </w:p>
        </w:tc>
        <w:tc>
          <w:tcPr>
            <w:tcW w:w="2205" w:type="dxa"/>
            <w:gridSpan w:val="3"/>
            <w:tcBorders>
              <w:top w:val="single"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実績</w:t>
            </w:r>
          </w:p>
        </w:tc>
        <w:tc>
          <w:tcPr>
            <w:tcW w:w="6129" w:type="dxa"/>
            <w:gridSpan w:val="8"/>
            <w:tcBorders>
              <w:top w:val="single"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推計</w:t>
            </w:r>
          </w:p>
        </w:tc>
      </w:tr>
      <w:tr>
        <w:trPr>
          <w:trHeight w:val="377" w:hRule="atLeast"/>
        </w:trPr>
        <w:tc>
          <w:tcPr>
            <w:tcW w:w="1510" w:type="dxa"/>
            <w:vMerge w:val="continue"/>
            <w:tcBorders>
              <w:top w:val="nil"/>
              <w:left w:val="single" w:color="auto" w:sz="4" w:space="0"/>
              <w:bottom w:val="nil"/>
              <w:right w:val="single" w:color="auto" w:sz="4" w:space="0"/>
              <w:tl2br w:val="nil"/>
              <w:tr2bl w:val="nil"/>
            </w:tcBorders>
            <w:shd w:val="clear" w:color="auto" w:themeFill="accent1" w:themeFillTint="66" w:themeFillShade="FF"/>
            <w:vAlign w:val="top"/>
          </w:tcPr>
          <w:p>
            <w:pPr>
              <w:pStyle w:val="0"/>
              <w:rPr>
                <w:rFonts w:hint="eastAsia" w:ascii="メイリオ" w:hAnsi="メイリオ" w:eastAsia="メイリオ"/>
                <w:color w:val="000000" w:themeColor="text1"/>
                <w:sz w:val="16"/>
              </w:rPr>
            </w:pPr>
          </w:p>
        </w:tc>
        <w:tc>
          <w:tcPr>
            <w:tcW w:w="735"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R3</w:t>
            </w:r>
          </w:p>
        </w:tc>
        <w:tc>
          <w:tcPr>
            <w:tcW w:w="735"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R4</w:t>
            </w:r>
          </w:p>
        </w:tc>
        <w:tc>
          <w:tcPr>
            <w:tcW w:w="735"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R5</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R6</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R7</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R8</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R12</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R17</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R22</w:t>
            </w:r>
          </w:p>
        </w:tc>
        <w:tc>
          <w:tcPr>
            <w:tcW w:w="766"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R27</w:t>
            </w:r>
          </w:p>
        </w:tc>
        <w:tc>
          <w:tcPr>
            <w:tcW w:w="767"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R32</w:t>
            </w:r>
          </w:p>
        </w:tc>
      </w:tr>
      <w:tr>
        <w:trPr>
          <w:trHeight w:val="377" w:hRule="atLeast"/>
        </w:trPr>
        <w:tc>
          <w:tcPr>
            <w:tcW w:w="1510" w:type="dxa"/>
            <w:vMerge w:val="continue"/>
            <w:tcBorders>
              <w:top w:val="nil"/>
              <w:left w:val="single" w:color="auto" w:sz="4" w:space="0"/>
              <w:bottom w:val="single" w:color="auto" w:sz="4" w:space="0"/>
              <w:right w:val="single" w:color="auto" w:sz="4" w:space="0"/>
              <w:tl2br w:val="nil"/>
              <w:tr2bl w:val="nil"/>
            </w:tcBorders>
            <w:shd w:val="clear" w:color="auto" w:themeFill="accent1" w:themeFillTint="66" w:themeFillShade="FF"/>
            <w:vAlign w:val="top"/>
          </w:tcPr>
          <w:p>
            <w:pPr>
              <w:pStyle w:val="0"/>
              <w:rPr>
                <w:rFonts w:hint="eastAsia" w:ascii="メイリオ" w:hAnsi="メイリオ" w:eastAsia="メイリオ"/>
                <w:color w:val="000000" w:themeColor="text1"/>
                <w:sz w:val="16"/>
              </w:rPr>
            </w:pPr>
          </w:p>
        </w:tc>
        <w:tc>
          <w:tcPr>
            <w:tcW w:w="735"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2021</w:t>
            </w:r>
          </w:p>
        </w:tc>
        <w:tc>
          <w:tcPr>
            <w:tcW w:w="735"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2022</w:t>
            </w:r>
          </w:p>
        </w:tc>
        <w:tc>
          <w:tcPr>
            <w:tcW w:w="735"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2023</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2024</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2025</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2026</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2030</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2035</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2040</w:t>
            </w:r>
          </w:p>
        </w:tc>
        <w:tc>
          <w:tcPr>
            <w:tcW w:w="766"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2045</w:t>
            </w:r>
          </w:p>
        </w:tc>
        <w:tc>
          <w:tcPr>
            <w:tcW w:w="767"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2050</w:t>
            </w:r>
          </w:p>
        </w:tc>
      </w:tr>
      <w:tr>
        <w:trPr>
          <w:trHeight w:val="377" w:hRule="atLeast"/>
        </w:trPr>
        <w:tc>
          <w:tcPr>
            <w:tcW w:w="1510" w:type="dxa"/>
            <w:tcBorders>
              <w:top w:val="single" w:color="auto" w:sz="4" w:space="0"/>
              <w:left w:val="single" w:color="auto" w:sz="4" w:space="0"/>
              <w:bottom w:val="single" w:color="auto" w:sz="4" w:space="0"/>
              <w:right w:val="none" w:color="auto" w:sz="0" w:space="0"/>
              <w:tl2br w:val="nil"/>
              <w:tr2bl w:val="nil"/>
            </w:tcBorders>
            <w:shd w:val="clear" w:color="auto" w:themeFill="accent1" w:themeFillTint="33" w:themeFillShade="FF"/>
            <w:vAlign w:val="center"/>
          </w:tcPr>
          <w:p>
            <w:pPr>
              <w:pStyle w:val="21"/>
              <w:spacing w:line="240" w:lineRule="auto"/>
              <w:ind w:left="0" w:leftChars="0" w:right="21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40</w:t>
            </w:r>
            <w:r>
              <w:rPr>
                <w:rFonts w:hint="eastAsia" w:ascii="メイリオ" w:hAnsi="メイリオ" w:eastAsia="メイリオ"/>
                <w:color w:val="000000" w:themeColor="text1"/>
                <w:sz w:val="16"/>
              </w:rPr>
              <w:t>～</w:t>
            </w:r>
            <w:r>
              <w:rPr>
                <w:rFonts w:hint="eastAsia" w:ascii="メイリオ" w:hAnsi="メイリオ" w:eastAsia="メイリオ"/>
                <w:color w:val="000000" w:themeColor="text1"/>
                <w:sz w:val="16"/>
              </w:rPr>
              <w:t>64</w:t>
            </w:r>
            <w:r>
              <w:rPr>
                <w:rFonts w:hint="eastAsia" w:ascii="メイリオ" w:hAnsi="メイリオ" w:eastAsia="メイリオ"/>
                <w:color w:val="000000" w:themeColor="text1"/>
                <w:sz w:val="16"/>
              </w:rPr>
              <w:t>歳人口</w:t>
            </w:r>
          </w:p>
        </w:tc>
        <w:tc>
          <w:tcPr>
            <w:tcW w:w="7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697</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695</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687</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699</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690</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684</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666</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642</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603</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559</w:t>
            </w:r>
          </w:p>
        </w:tc>
        <w:tc>
          <w:tcPr>
            <w:tcW w:w="767"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560</w:t>
            </w:r>
          </w:p>
        </w:tc>
      </w:tr>
      <w:tr>
        <w:trPr>
          <w:trHeight w:val="377" w:hRule="atLeast"/>
        </w:trPr>
        <w:tc>
          <w:tcPr>
            <w:tcW w:w="1510" w:type="dxa"/>
            <w:tcBorders>
              <w:top w:val="single" w:color="auto" w:sz="4" w:space="0"/>
              <w:left w:val="single" w:color="auto" w:sz="4" w:space="0"/>
              <w:bottom w:val="single" w:color="auto" w:sz="4" w:space="0"/>
              <w:right w:val="none" w:color="auto" w:sz="0" w:space="0"/>
              <w:tl2br w:val="nil"/>
              <w:tr2bl w:val="nil"/>
            </w:tcBorders>
            <w:shd w:val="clear" w:color="auto" w:themeFill="accent1" w:themeFillTint="33" w:themeFillShade="FF"/>
            <w:vAlign w:val="center"/>
          </w:tcPr>
          <w:p>
            <w:pPr>
              <w:pStyle w:val="21"/>
              <w:spacing w:line="240" w:lineRule="auto"/>
              <w:ind w:left="0" w:leftChars="0" w:right="210" w:firstLine="0" w:firstLineChars="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65</w:t>
            </w:r>
            <w:r>
              <w:rPr>
                <w:rFonts w:hint="eastAsia" w:ascii="メイリオ" w:hAnsi="メイリオ" w:eastAsia="メイリオ"/>
                <w:color w:val="000000" w:themeColor="text1"/>
                <w:sz w:val="16"/>
              </w:rPr>
              <w:t>歳以上人口</w:t>
            </w:r>
          </w:p>
        </w:tc>
        <w:tc>
          <w:tcPr>
            <w:tcW w:w="7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895</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860</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830</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801</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785</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761</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746</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705</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624</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560</w:t>
            </w:r>
          </w:p>
        </w:tc>
        <w:tc>
          <w:tcPr>
            <w:tcW w:w="767"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513</w:t>
            </w:r>
          </w:p>
        </w:tc>
      </w:tr>
      <w:tr>
        <w:trPr>
          <w:trHeight w:val="377" w:hRule="atLeast"/>
        </w:trPr>
        <w:tc>
          <w:tcPr>
            <w:tcW w:w="1510" w:type="dxa"/>
            <w:tcBorders>
              <w:top w:val="single" w:color="auto" w:sz="4" w:space="0"/>
              <w:left w:val="single" w:color="auto" w:sz="4" w:space="0"/>
              <w:bottom w:val="single" w:color="auto" w:sz="4" w:space="0"/>
              <w:right w:val="none" w:color="auto" w:sz="0" w:space="0"/>
              <w:tl2br w:val="nil"/>
              <w:tr2bl w:val="nil"/>
            </w:tcBorders>
            <w:shd w:val="clear" w:color="auto" w:themeFill="accent1" w:themeFillTint="33" w:themeFillShade="FF"/>
            <w:vAlign w:val="center"/>
          </w:tcPr>
          <w:p>
            <w:pPr>
              <w:pStyle w:val="0"/>
              <w:jc w:val="center"/>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合計</w:t>
            </w:r>
          </w:p>
        </w:tc>
        <w:tc>
          <w:tcPr>
            <w:tcW w:w="73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wordWrap w:val="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w w:val="90"/>
                <w:sz w:val="16"/>
              </w:rPr>
              <w:t>1,592</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w w:val="90"/>
                <w:sz w:val="16"/>
              </w:rPr>
              <w:t>1,555</w:t>
            </w:r>
          </w:p>
        </w:tc>
        <w:tc>
          <w:tcPr>
            <w:tcW w:w="735"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13" w:leftChars="-6" w:right="0" w:rightChars="0" w:firstLine="11" w:firstLineChars="7"/>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sz w:val="16"/>
              </w:rPr>
              <w:t xml:space="preserve">1,517 </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w w:val="90"/>
                <w:sz w:val="16"/>
              </w:rPr>
              <w:t>1,500</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w w:val="90"/>
                <w:sz w:val="16"/>
              </w:rPr>
              <w:t>1,475</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25" w:leftChars="0" w:right="7" w:rightChars="0" w:hanging="5" w:firstLineChars="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w w:val="90"/>
                <w:sz w:val="16"/>
              </w:rPr>
              <w:t>1,445</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b w:val="0"/>
                <w:i w:val="0"/>
                <w:color w:val="000000" w:themeColor="text1"/>
                <w:w w:val="90"/>
                <w:sz w:val="16"/>
              </w:rPr>
            </w:pPr>
            <w:r>
              <w:rPr>
                <w:rFonts w:hint="eastAsia" w:ascii="メイリオ" w:hAnsi="メイリオ" w:eastAsia="メイリオ"/>
                <w:b w:val="0"/>
                <w:i w:val="0"/>
                <w:color w:val="000000" w:themeColor="text1"/>
                <w:sz w:val="16"/>
              </w:rPr>
              <w:t>1,412</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b w:val="0"/>
                <w:i w:val="0"/>
                <w:color w:val="000000" w:themeColor="text1"/>
                <w:w w:val="90"/>
                <w:sz w:val="16"/>
              </w:rPr>
            </w:pPr>
            <w:r>
              <w:rPr>
                <w:rFonts w:hint="eastAsia" w:ascii="メイリオ" w:hAnsi="メイリオ" w:eastAsia="メイリオ"/>
                <w:b w:val="0"/>
                <w:i w:val="0"/>
                <w:color w:val="000000" w:themeColor="text1"/>
                <w:sz w:val="16"/>
              </w:rPr>
              <w:t>1,347</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w w:val="90"/>
                <w:sz w:val="16"/>
              </w:rPr>
            </w:pPr>
            <w:r>
              <w:rPr>
                <w:rFonts w:hint="eastAsia" w:ascii="メイリオ" w:hAnsi="メイリオ" w:eastAsia="メイリオ"/>
                <w:color w:val="000000" w:themeColor="text1"/>
                <w:sz w:val="16"/>
              </w:rPr>
              <w:t>1,227</w:t>
            </w:r>
          </w:p>
        </w:tc>
        <w:tc>
          <w:tcPr>
            <w:tcW w:w="766"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1,119</w:t>
            </w:r>
          </w:p>
        </w:tc>
        <w:tc>
          <w:tcPr>
            <w:tcW w:w="767" w:type="dxa"/>
            <w:tcBorders>
              <w:top w:val="single" w:color="auto" w:sz="4" w:space="0"/>
              <w:left w:val="nil"/>
              <w:bottom w:val="single" w:color="auto" w:sz="4" w:space="0"/>
              <w:right w:val="single" w:color="auto" w:sz="4" w:space="0"/>
              <w:tl2br w:val="nil"/>
              <w:tr2bl w:val="nil"/>
            </w:tcBorders>
            <w:shd w:val="clear" w:color="auto" w:fill="auto"/>
            <w:vAlign w:val="center"/>
          </w:tcPr>
          <w:p>
            <w:pPr>
              <w:pStyle w:val="21"/>
              <w:spacing w:line="240" w:lineRule="auto"/>
              <w:ind w:left="0" w:leftChars="0" w:right="0" w:rightChars="0" w:firstLine="0" w:firstLineChars="0"/>
              <w:jc w:val="right"/>
              <w:rPr>
                <w:rFonts w:hint="eastAsia" w:ascii="メイリオ" w:hAnsi="メイリオ" w:eastAsia="メイリオ"/>
                <w:color w:val="000000" w:themeColor="text1"/>
                <w:sz w:val="16"/>
              </w:rPr>
            </w:pPr>
            <w:r>
              <w:rPr>
                <w:rFonts w:hint="eastAsia" w:ascii="メイリオ" w:hAnsi="メイリオ" w:eastAsia="メイリオ"/>
                <w:color w:val="000000" w:themeColor="text1"/>
                <w:sz w:val="16"/>
              </w:rPr>
              <w:t>1,073</w:t>
            </w:r>
          </w:p>
        </w:tc>
      </w:tr>
    </w:tbl>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将来人口推計に基づいて被保険者人口を推計します。</w:t>
      </w:r>
    </w:p>
    <w:p>
      <w:pPr>
        <w:pStyle w:val="0"/>
        <w:widowControl w:val="1"/>
        <w:jc w:val="left"/>
        <w:rPr>
          <w:rFonts w:hint="default" w:ascii="メイリオ" w:hAnsi="メイリオ" w:eastAsia="メイリオ"/>
          <w:color w:val="000000" w:themeColor="text1"/>
          <w:sz w:val="20"/>
        </w:rPr>
      </w:pPr>
    </w:p>
    <w:p>
      <w:pPr>
        <w:pStyle w:val="0"/>
        <w:widowControl w:val="1"/>
        <w:jc w:val="left"/>
        <w:rPr>
          <w:rFonts w:hint="default" w:ascii="メイリオ" w:hAnsi="メイリオ" w:eastAsia="メイリオ"/>
          <w:color w:val="000000" w:themeColor="text1"/>
          <w:sz w:val="20"/>
        </w:rPr>
      </w:pPr>
    </w:p>
    <w:p>
      <w:pPr>
        <w:pStyle w:val="40"/>
        <w:rPr>
          <w:rFonts w:hint="default"/>
          <w:color w:val="000000" w:themeColor="text1"/>
        </w:rPr>
      </w:pPr>
      <w:r>
        <w:rPr>
          <w:rFonts w:hint="eastAsia"/>
          <w:color w:val="000000" w:themeColor="text1"/>
        </w:rPr>
        <w:t>２　要支援・要介護認定者数の推計</w:t>
      </w:r>
      <w:r>
        <w:rPr>
          <w:rFonts w:hint="eastAsia"/>
          <w:color w:val="000000" w:themeColor="text1"/>
        </w:rPr>
        <w:tab/>
      </w:r>
      <w:r>
        <w:rPr>
          <w:rFonts w:hint="eastAsia"/>
          <w:color w:val="000000" w:themeColor="text1"/>
        </w:rPr>
        <w:tab/>
      </w:r>
      <w:r>
        <w:rPr>
          <w:rFonts w:hint="eastAsia"/>
          <w:color w:val="000000" w:themeColor="text1"/>
        </w:rPr>
        <w:tab/>
      </w:r>
    </w:p>
    <w:p>
      <w:pPr>
        <w:pStyle w:val="0"/>
        <w:widowControl w:val="1"/>
        <w:jc w:val="left"/>
        <w:rPr>
          <w:rFonts w:hint="default"/>
          <w:color w:val="000000" w:themeColor="text1"/>
        </w:rPr>
      </w:pPr>
      <w:r>
        <w:rPr>
          <w:rFonts w:hint="eastAsia" w:ascii="メイリオ" w:hAnsi="メイリオ" w:eastAsia="メイリオ"/>
          <w:color w:val="000000" w:themeColor="text1"/>
          <w:sz w:val="24"/>
        </w:rPr>
        <w:t>　　人口の推計と認定率の動向から要支援・要介護認定者を推計します。</w:t>
      </w:r>
      <w:bookmarkStart w:id="36" w:name="_Toc154129942"/>
    </w:p>
    <w:tbl>
      <w:tblPr>
        <w:tblStyle w:val="64"/>
        <w:tblpPr w:leftFromText="142" w:rightFromText="142" w:topFromText="0" w:bottomFromText="0" w:vertAnchor="page" w:horzAnchor="margin" w:tblpXSpec="center" w:tblpY="9763"/>
        <w:tblW w:w="9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526"/>
        <w:gridCol w:w="743"/>
        <w:gridCol w:w="743"/>
        <w:gridCol w:w="744"/>
        <w:gridCol w:w="771"/>
        <w:gridCol w:w="771"/>
        <w:gridCol w:w="771"/>
        <w:gridCol w:w="771"/>
        <w:gridCol w:w="771"/>
        <w:gridCol w:w="771"/>
        <w:gridCol w:w="771"/>
        <w:gridCol w:w="773"/>
      </w:tblGrid>
      <w:tr>
        <w:trPr>
          <w:trHeight w:val="355" w:hRule="atLeast"/>
        </w:trPr>
        <w:tc>
          <w:tcPr>
            <w:tcW w:w="1526" w:type="dxa"/>
            <w:vMerge w:val="restart"/>
            <w:tcBorders>
              <w:top w:val="none" w:color="auto" w:sz="0" w:space="0"/>
              <w:left w:val="none" w:color="auto" w:sz="0" w:space="0"/>
              <w:bottom w:val="none" w:color="auto" w:sz="0" w:space="0"/>
              <w:right w:val="none" w:color="auto" w:sz="0" w:space="0"/>
              <w:tl2br w:val="nil"/>
              <w:tr2bl w:val="nil"/>
            </w:tcBorders>
            <w:shd w:val="clear" w:color="auto" w:themeFill="accent1" w:themeFillTint="66" w:themeFillShade="FF"/>
            <w:vAlign w:val="top"/>
          </w:tcPr>
          <w:p>
            <w:pPr>
              <w:pStyle w:val="21"/>
              <w:ind w:left="0" w:leftChars="0" w:right="210" w:firstLine="0" w:firstLineChars="0"/>
              <w:rPr>
                <w:rFonts w:hint="default"/>
                <w:color w:val="000000" w:themeColor="text1"/>
                <w:sz w:val="16"/>
              </w:rPr>
            </w:pPr>
          </w:p>
        </w:tc>
        <w:tc>
          <w:tcPr>
            <w:tcW w:w="2230" w:type="dxa"/>
            <w:gridSpan w:val="3"/>
            <w:tcBorders>
              <w:top w:val="none" w:color="auto" w:sz="0" w:space="0"/>
              <w:left w:val="none" w:color="auto" w:sz="0" w:space="0"/>
              <w:bottom w:val="single" w:color="auto" w:sz="4" w:space="0"/>
              <w:right w:val="none" w:color="auto" w:sz="0" w:space="0"/>
              <w:tl2br w:val="nil"/>
              <w:tr2bl w:val="nil"/>
            </w:tcBorders>
            <w:shd w:val="clear" w:color="auto" w:themeFill="accent1" w:themeFillTint="66" w:themeFillShade="FF"/>
            <w:vAlign w:val="center"/>
          </w:tcPr>
          <w:p>
            <w:pPr>
              <w:pStyle w:val="21"/>
              <w:spacing w:line="240" w:lineRule="auto"/>
              <w:ind w:left="0" w:leftChars="0" w:right="55" w:rightChars="26" w:firstLine="0" w:firstLineChars="0"/>
              <w:jc w:val="center"/>
              <w:rPr>
                <w:rFonts w:hint="default"/>
                <w:color w:val="000000" w:themeColor="text1"/>
                <w:sz w:val="16"/>
              </w:rPr>
            </w:pPr>
            <w:r>
              <w:rPr>
                <w:rFonts w:hint="eastAsia"/>
                <w:color w:val="000000" w:themeColor="text1"/>
                <w:sz w:val="16"/>
              </w:rPr>
              <w:t>実績</w:t>
            </w:r>
          </w:p>
        </w:tc>
        <w:tc>
          <w:tcPr>
            <w:tcW w:w="6170" w:type="dxa"/>
            <w:gridSpan w:val="8"/>
            <w:tcBorders>
              <w:top w:val="none" w:color="auto" w:sz="0" w:space="0"/>
              <w:left w:val="none" w:color="auto" w:sz="0" w:space="0"/>
              <w:bottom w:val="single" w:color="auto" w:sz="4" w:space="0"/>
              <w:right w:val="none" w:color="auto" w:sz="0" w:space="0"/>
              <w:tl2br w:val="nil"/>
              <w:tr2bl w:val="nil"/>
            </w:tcBorders>
            <w:shd w:val="clear" w:color="auto" w:themeFill="accent1" w:themeFillTint="66" w:themeFillShade="FF"/>
            <w:vAlign w:val="center"/>
          </w:tcPr>
          <w:p>
            <w:pPr>
              <w:pStyle w:val="21"/>
              <w:spacing w:line="240" w:lineRule="auto"/>
              <w:ind w:left="0" w:leftChars="0" w:right="55" w:rightChars="26" w:firstLine="0" w:firstLineChars="0"/>
              <w:jc w:val="center"/>
              <w:rPr>
                <w:rFonts w:hint="default"/>
                <w:color w:val="000000" w:themeColor="text1"/>
                <w:sz w:val="16"/>
              </w:rPr>
            </w:pPr>
            <w:r>
              <w:rPr>
                <w:rFonts w:hint="eastAsia"/>
                <w:color w:val="000000" w:themeColor="text1"/>
                <w:sz w:val="16"/>
              </w:rPr>
              <w:t>推計</w:t>
            </w:r>
          </w:p>
        </w:tc>
      </w:tr>
      <w:tr>
        <w:trPr>
          <w:trHeight w:val="355" w:hRule="atLeast"/>
        </w:trPr>
        <w:tc>
          <w:tcPr>
            <w:tcW w:w="1526" w:type="dxa"/>
            <w:vMerge w:val="continue"/>
            <w:tcBorders>
              <w:top w:val="none" w:color="auto" w:sz="0" w:space="0"/>
              <w:left w:val="none" w:color="auto" w:sz="0" w:space="0"/>
              <w:bottom w:val="none" w:color="auto" w:sz="0" w:space="0"/>
              <w:right w:val="single" w:color="auto" w:sz="4" w:space="0"/>
              <w:tl2br w:val="nil"/>
              <w:tr2bl w:val="nil"/>
            </w:tcBorders>
            <w:shd w:val="clear" w:color="auto" w:themeFill="accent1" w:themeFillTint="66" w:themeFillShade="FF"/>
            <w:vAlign w:val="top"/>
          </w:tcPr>
          <w:p>
            <w:pPr>
              <w:pStyle w:val="0"/>
              <w:rPr>
                <w:rFonts w:hint="default"/>
                <w:color w:val="000000" w:themeColor="text1"/>
                <w:sz w:val="16"/>
              </w:rPr>
            </w:pPr>
          </w:p>
        </w:tc>
        <w:tc>
          <w:tcPr>
            <w:tcW w:w="743"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69" w:rightChars="33" w:firstLine="0" w:firstLineChars="0"/>
              <w:jc w:val="center"/>
              <w:rPr>
                <w:rFonts w:hint="default"/>
                <w:color w:val="000000" w:themeColor="text1"/>
                <w:sz w:val="16"/>
              </w:rPr>
            </w:pPr>
            <w:r>
              <w:rPr>
                <w:rFonts w:hint="default"/>
                <w:color w:val="000000" w:themeColor="text1"/>
                <w:sz w:val="16"/>
              </w:rPr>
              <w:t>R3</w:t>
            </w:r>
          </w:p>
        </w:tc>
        <w:tc>
          <w:tcPr>
            <w:tcW w:w="743"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R4</w:t>
            </w:r>
          </w:p>
        </w:tc>
        <w:tc>
          <w:tcPr>
            <w:tcW w:w="744"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38" w:rightChars="18" w:firstLine="0" w:firstLineChars="0"/>
              <w:jc w:val="center"/>
              <w:rPr>
                <w:rFonts w:hint="default"/>
                <w:color w:val="000000" w:themeColor="text1"/>
                <w:sz w:val="16"/>
              </w:rPr>
            </w:pPr>
            <w:r>
              <w:rPr>
                <w:rFonts w:hint="default"/>
                <w:color w:val="000000" w:themeColor="text1"/>
                <w:sz w:val="16"/>
              </w:rPr>
              <w:t>R5</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R6</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8" w:rightChars="4" w:firstLine="0" w:firstLineChars="0"/>
              <w:jc w:val="center"/>
              <w:rPr>
                <w:rFonts w:hint="default"/>
                <w:color w:val="000000" w:themeColor="text1"/>
                <w:sz w:val="16"/>
              </w:rPr>
            </w:pPr>
            <w:r>
              <w:rPr>
                <w:rFonts w:hint="default"/>
                <w:color w:val="000000" w:themeColor="text1"/>
                <w:sz w:val="16"/>
              </w:rPr>
              <w:t>R7</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61" w:rightChars="29" w:firstLine="0" w:firstLineChars="0"/>
              <w:jc w:val="center"/>
              <w:rPr>
                <w:rFonts w:hint="default"/>
                <w:color w:val="000000" w:themeColor="text1"/>
                <w:sz w:val="16"/>
              </w:rPr>
            </w:pPr>
            <w:r>
              <w:rPr>
                <w:rFonts w:hint="default"/>
                <w:color w:val="000000" w:themeColor="text1"/>
                <w:sz w:val="16"/>
              </w:rPr>
              <w:t>R8</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R12</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31" w:rightChars="15" w:firstLine="0" w:firstLineChars="0"/>
              <w:jc w:val="center"/>
              <w:rPr>
                <w:rFonts w:hint="default"/>
                <w:color w:val="000000" w:themeColor="text1"/>
                <w:sz w:val="16"/>
              </w:rPr>
            </w:pPr>
            <w:r>
              <w:rPr>
                <w:rFonts w:hint="default"/>
                <w:color w:val="000000" w:themeColor="text1"/>
                <w:sz w:val="16"/>
              </w:rPr>
              <w:t>R17</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R22</w:t>
            </w:r>
          </w:p>
        </w:tc>
        <w:tc>
          <w:tcPr>
            <w:tcW w:w="771"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R27</w:t>
            </w:r>
          </w:p>
        </w:tc>
        <w:tc>
          <w:tcPr>
            <w:tcW w:w="773" w:type="dxa"/>
            <w:tcBorders>
              <w:top w:val="single" w:color="auto" w:sz="4" w:space="0"/>
              <w:left w:val="single" w:color="auto" w:sz="4" w:space="0"/>
              <w:bottom w:val="dashSmallGap"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55" w:rightChars="26" w:firstLine="0" w:firstLineChars="0"/>
              <w:jc w:val="center"/>
              <w:rPr>
                <w:rFonts w:hint="default"/>
                <w:color w:val="000000" w:themeColor="text1"/>
                <w:sz w:val="16"/>
              </w:rPr>
            </w:pPr>
            <w:r>
              <w:rPr>
                <w:rFonts w:hint="eastAsia"/>
                <w:color w:val="000000" w:themeColor="text1"/>
                <w:sz w:val="16"/>
              </w:rPr>
              <w:t>R32</w:t>
            </w:r>
          </w:p>
        </w:tc>
      </w:tr>
      <w:tr>
        <w:trPr>
          <w:trHeight w:val="355" w:hRule="atLeast"/>
        </w:trPr>
        <w:tc>
          <w:tcPr>
            <w:tcW w:w="1526" w:type="dxa"/>
            <w:vMerge w:val="continue"/>
            <w:tcBorders>
              <w:top w:val="none" w:color="auto" w:sz="0" w:space="0"/>
              <w:left w:val="none" w:color="auto" w:sz="0" w:space="0"/>
              <w:bottom w:val="none" w:color="auto" w:sz="0" w:space="0"/>
              <w:right w:val="single" w:color="auto" w:sz="4" w:space="0"/>
              <w:tl2br w:val="nil"/>
              <w:tr2bl w:val="nil"/>
            </w:tcBorders>
            <w:shd w:val="clear" w:color="auto" w:themeFill="accent1" w:themeFillTint="66" w:themeFillShade="FF"/>
            <w:vAlign w:val="top"/>
          </w:tcPr>
          <w:p>
            <w:pPr>
              <w:pStyle w:val="0"/>
              <w:rPr>
                <w:rFonts w:hint="default"/>
                <w:color w:val="000000" w:themeColor="text1"/>
                <w:sz w:val="16"/>
              </w:rPr>
            </w:pPr>
          </w:p>
        </w:tc>
        <w:tc>
          <w:tcPr>
            <w:tcW w:w="743"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69" w:rightChars="33" w:firstLine="0" w:firstLineChars="0"/>
              <w:jc w:val="center"/>
              <w:rPr>
                <w:rFonts w:hint="default"/>
                <w:color w:val="000000" w:themeColor="text1"/>
                <w:sz w:val="16"/>
              </w:rPr>
            </w:pPr>
            <w:r>
              <w:rPr>
                <w:rFonts w:hint="eastAsia"/>
                <w:color w:val="000000" w:themeColor="text1"/>
                <w:sz w:val="16"/>
              </w:rPr>
              <w:t>2021</w:t>
            </w:r>
          </w:p>
        </w:tc>
        <w:tc>
          <w:tcPr>
            <w:tcW w:w="743"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eastAsia"/>
                <w:color w:val="000000" w:themeColor="text1"/>
                <w:sz w:val="16"/>
              </w:rPr>
              <w:t>2022</w:t>
            </w:r>
          </w:p>
        </w:tc>
        <w:tc>
          <w:tcPr>
            <w:tcW w:w="744"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38" w:rightChars="18" w:firstLine="0" w:firstLineChars="0"/>
              <w:jc w:val="center"/>
              <w:rPr>
                <w:rFonts w:hint="default"/>
                <w:color w:val="000000" w:themeColor="text1"/>
                <w:sz w:val="16"/>
              </w:rPr>
            </w:pPr>
            <w:r>
              <w:rPr>
                <w:rFonts w:hint="default"/>
                <w:color w:val="000000" w:themeColor="text1"/>
                <w:sz w:val="16"/>
              </w:rPr>
              <w:t>20</w:t>
            </w:r>
            <w:r>
              <w:rPr>
                <w:rFonts w:hint="eastAsia"/>
                <w:color w:val="000000" w:themeColor="text1"/>
                <w:sz w:val="16"/>
              </w:rPr>
              <w:t>23</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202</w:t>
            </w:r>
            <w:r>
              <w:rPr>
                <w:rFonts w:hint="eastAsia"/>
                <w:color w:val="000000" w:themeColor="text1"/>
                <w:sz w:val="16"/>
              </w:rPr>
              <w:t>4</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8" w:rightChars="4" w:firstLine="0" w:firstLineChars="0"/>
              <w:jc w:val="center"/>
              <w:rPr>
                <w:rFonts w:hint="default"/>
                <w:color w:val="000000" w:themeColor="text1"/>
                <w:sz w:val="16"/>
              </w:rPr>
            </w:pPr>
            <w:r>
              <w:rPr>
                <w:rFonts w:hint="default"/>
                <w:color w:val="000000" w:themeColor="text1"/>
                <w:sz w:val="16"/>
              </w:rPr>
              <w:t>202</w:t>
            </w:r>
            <w:r>
              <w:rPr>
                <w:rFonts w:hint="eastAsia"/>
                <w:color w:val="000000" w:themeColor="text1"/>
                <w:sz w:val="16"/>
              </w:rPr>
              <w:t>5</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61" w:rightChars="29" w:firstLine="0" w:firstLineChars="0"/>
              <w:jc w:val="center"/>
              <w:rPr>
                <w:rFonts w:hint="default"/>
                <w:color w:val="000000" w:themeColor="text1"/>
                <w:sz w:val="16"/>
              </w:rPr>
            </w:pPr>
            <w:r>
              <w:rPr>
                <w:rFonts w:hint="default"/>
                <w:color w:val="000000" w:themeColor="text1"/>
                <w:sz w:val="16"/>
              </w:rPr>
              <w:t>202</w:t>
            </w:r>
            <w:r>
              <w:rPr>
                <w:rFonts w:hint="eastAsia"/>
                <w:color w:val="000000" w:themeColor="text1"/>
                <w:sz w:val="16"/>
              </w:rPr>
              <w:t>6</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20</w:t>
            </w:r>
            <w:r>
              <w:rPr>
                <w:rFonts w:hint="eastAsia"/>
                <w:color w:val="000000" w:themeColor="text1"/>
                <w:sz w:val="16"/>
              </w:rPr>
              <w:t>30</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31" w:rightChars="15" w:firstLine="0" w:firstLineChars="0"/>
              <w:jc w:val="center"/>
              <w:rPr>
                <w:rFonts w:hint="default"/>
                <w:color w:val="000000" w:themeColor="text1"/>
                <w:sz w:val="16"/>
              </w:rPr>
            </w:pPr>
            <w:r>
              <w:rPr>
                <w:rFonts w:hint="default"/>
                <w:color w:val="000000" w:themeColor="text1"/>
                <w:sz w:val="16"/>
              </w:rPr>
              <w:t>203</w:t>
            </w:r>
            <w:r>
              <w:rPr>
                <w:rFonts w:hint="eastAsia"/>
                <w:color w:val="000000" w:themeColor="text1"/>
                <w:sz w:val="16"/>
              </w:rPr>
              <w:t>5</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20</w:t>
            </w:r>
            <w:r>
              <w:rPr>
                <w:rFonts w:hint="eastAsia"/>
                <w:color w:val="000000" w:themeColor="text1"/>
                <w:sz w:val="16"/>
              </w:rPr>
              <w:t>40</w:t>
            </w:r>
          </w:p>
        </w:tc>
        <w:tc>
          <w:tcPr>
            <w:tcW w:w="771"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0" w:rightChars="0" w:firstLine="0" w:firstLineChars="0"/>
              <w:jc w:val="center"/>
              <w:rPr>
                <w:rFonts w:hint="default"/>
                <w:color w:val="000000" w:themeColor="text1"/>
                <w:sz w:val="16"/>
              </w:rPr>
            </w:pPr>
            <w:r>
              <w:rPr>
                <w:rFonts w:hint="default"/>
                <w:color w:val="000000" w:themeColor="text1"/>
                <w:sz w:val="16"/>
              </w:rPr>
              <w:t>20</w:t>
            </w:r>
            <w:r>
              <w:rPr>
                <w:rFonts w:hint="eastAsia"/>
                <w:color w:val="000000" w:themeColor="text1"/>
                <w:sz w:val="16"/>
              </w:rPr>
              <w:t>45</w:t>
            </w:r>
          </w:p>
        </w:tc>
        <w:tc>
          <w:tcPr>
            <w:tcW w:w="773" w:type="dxa"/>
            <w:tcBorders>
              <w:top w:val="dashSmallGap" w:color="auto" w:sz="4" w:space="0"/>
              <w:left w:val="single" w:color="auto" w:sz="4" w:space="0"/>
              <w:bottom w:val="single" w:color="auto" w:sz="4" w:space="0"/>
              <w:right w:val="single" w:color="auto" w:sz="4" w:space="0"/>
              <w:tl2br w:val="nil"/>
              <w:tr2bl w:val="nil"/>
            </w:tcBorders>
            <w:shd w:val="clear" w:color="auto" w:themeFill="accent1" w:themeFillTint="66" w:themeFillShade="FF"/>
            <w:vAlign w:val="center"/>
          </w:tcPr>
          <w:p>
            <w:pPr>
              <w:pStyle w:val="21"/>
              <w:spacing w:line="240" w:lineRule="auto"/>
              <w:ind w:left="0" w:leftChars="0" w:right="55" w:rightChars="26" w:firstLine="0" w:firstLineChars="0"/>
              <w:jc w:val="center"/>
              <w:rPr>
                <w:rFonts w:hint="default"/>
                <w:color w:val="000000" w:themeColor="text1"/>
                <w:sz w:val="16"/>
              </w:rPr>
            </w:pPr>
            <w:r>
              <w:rPr>
                <w:rFonts w:hint="eastAsia"/>
                <w:color w:val="000000" w:themeColor="text1"/>
                <w:sz w:val="16"/>
              </w:rPr>
              <w:t>2050</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要支援１</w:t>
            </w:r>
          </w:p>
        </w:tc>
        <w:tc>
          <w:tcPr>
            <w:tcW w:w="743"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24</w:t>
            </w:r>
          </w:p>
        </w:tc>
        <w:tc>
          <w:tcPr>
            <w:tcW w:w="743"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19</w:t>
            </w:r>
          </w:p>
        </w:tc>
        <w:tc>
          <w:tcPr>
            <w:tcW w:w="744"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22</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20</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10" w:rightChars="-5" w:firstLine="0" w:firstLineChars="0"/>
              <w:jc w:val="right"/>
              <w:rPr>
                <w:rFonts w:hint="default"/>
                <w:color w:val="000000" w:themeColor="text1"/>
                <w:sz w:val="16"/>
              </w:rPr>
            </w:pPr>
            <w:r>
              <w:rPr>
                <w:rFonts w:hint="default"/>
                <w:color w:val="000000" w:themeColor="text1"/>
                <w:sz w:val="16"/>
              </w:rPr>
              <w:t>21</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19</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38" w:rightChars="-18" w:firstLine="0" w:firstLineChars="0"/>
              <w:jc w:val="right"/>
              <w:rPr>
                <w:rFonts w:hint="default"/>
                <w:color w:val="000000" w:themeColor="text1"/>
                <w:sz w:val="16"/>
              </w:rPr>
            </w:pPr>
            <w:r>
              <w:rPr>
                <w:rFonts w:hint="default"/>
                <w:color w:val="000000" w:themeColor="text1"/>
                <w:sz w:val="16"/>
              </w:rPr>
              <w:t>17</w:t>
            </w:r>
          </w:p>
        </w:tc>
        <w:tc>
          <w:tcPr>
            <w:tcW w:w="771"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19" w:rightChars="9" w:firstLine="0" w:firstLineChars="0"/>
              <w:jc w:val="right"/>
              <w:rPr>
                <w:rFonts w:hint="default"/>
                <w:color w:val="000000" w:themeColor="text1"/>
                <w:sz w:val="16"/>
              </w:rPr>
            </w:pPr>
            <w:r>
              <w:rPr>
                <w:rFonts w:hint="default"/>
                <w:color w:val="000000" w:themeColor="text1"/>
                <w:sz w:val="16"/>
              </w:rPr>
              <w:t>14</w:t>
            </w:r>
          </w:p>
        </w:tc>
        <w:tc>
          <w:tcPr>
            <w:tcW w:w="773" w:type="dxa"/>
            <w:tcBorders>
              <w:top w:val="single" w:color="auto" w:sz="4"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7" w:rightChars="0" w:firstLine="0" w:firstLineChars="0"/>
              <w:jc w:val="right"/>
              <w:rPr>
                <w:rFonts w:hint="default"/>
                <w:color w:val="000000" w:themeColor="text1"/>
                <w:sz w:val="16"/>
              </w:rPr>
            </w:pPr>
            <w:r>
              <w:rPr>
                <w:rFonts w:hint="default"/>
                <w:color w:val="000000" w:themeColor="text1"/>
                <w:sz w:val="16"/>
              </w:rPr>
              <w:t>13</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要支援２</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12</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19</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12</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13</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13</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11</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10</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要介護１</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31</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32</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29</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32</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34</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32</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31</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29</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tabs>
                <w:tab w:val="right" w:leader="none" w:pos="0"/>
                <w:tab w:val="center" w:leader="none" w:pos="363"/>
              </w:tabs>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29</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24</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要介護</w:t>
            </w:r>
            <w:r>
              <w:rPr>
                <w:rFonts w:hint="eastAsia"/>
                <w:color w:val="000000" w:themeColor="text1"/>
                <w:sz w:val="16"/>
              </w:rPr>
              <w:t>2</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26</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30</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31</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4" w:leftChars="2" w:right="0" w:rightChars="0" w:firstLine="2" w:firstLineChars="1"/>
              <w:jc w:val="right"/>
              <w:rPr>
                <w:rFonts w:hint="default"/>
                <w:color w:val="000000" w:themeColor="text1"/>
                <w:sz w:val="16"/>
              </w:rPr>
            </w:pPr>
            <w:r>
              <w:rPr>
                <w:rFonts w:hint="default"/>
                <w:color w:val="000000" w:themeColor="text1"/>
                <w:sz w:val="16"/>
              </w:rPr>
              <w:t>31</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28</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28</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25</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24</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要介護</w:t>
            </w:r>
            <w:r>
              <w:rPr>
                <w:rFonts w:hint="eastAsia"/>
                <w:color w:val="000000" w:themeColor="text1"/>
                <w:sz w:val="16"/>
              </w:rPr>
              <w:t>3</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19</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12</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13</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11</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要介護</w:t>
            </w:r>
            <w:r>
              <w:rPr>
                <w:rFonts w:hint="eastAsia"/>
                <w:color w:val="000000" w:themeColor="text1"/>
                <w:sz w:val="16"/>
              </w:rPr>
              <w:t>4</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14</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21</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18</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18</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13</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10</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要介護５</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25</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22</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14</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11</w:t>
            </w:r>
          </w:p>
        </w:tc>
      </w:tr>
      <w:tr>
        <w:trPr>
          <w:trHeight w:val="355" w:hRule="atLeast"/>
        </w:trPr>
        <w:tc>
          <w:tcPr>
            <w:tcW w:w="1526" w:type="dxa"/>
            <w:tcBorders>
              <w:top w:val="none" w:color="auto" w:sz="0" w:space="0"/>
              <w:left w:val="none" w:color="auto" w:sz="0" w:space="0"/>
              <w:bottom w:val="none" w:color="auto" w:sz="0" w:space="0"/>
              <w:right w:val="none" w:color="auto" w:sz="0" w:space="0"/>
              <w:tl2br w:val="nil"/>
              <w:tr2bl w:val="nil"/>
            </w:tcBorders>
            <w:shd w:val="clear" w:color="auto" w:themeFill="accent1" w:themeFillTint="33" w:themeFillShade="FF"/>
            <w:vAlign w:val="top"/>
          </w:tcPr>
          <w:p>
            <w:pPr>
              <w:pStyle w:val="21"/>
              <w:spacing w:line="240" w:lineRule="auto"/>
              <w:ind w:left="0" w:leftChars="0" w:right="210" w:firstLine="0" w:firstLineChars="0"/>
              <w:jc w:val="center"/>
              <w:rPr>
                <w:rFonts w:hint="default"/>
                <w:color w:val="000000" w:themeColor="text1"/>
                <w:sz w:val="16"/>
              </w:rPr>
            </w:pPr>
            <w:r>
              <w:rPr>
                <w:rFonts w:hint="eastAsia"/>
                <w:color w:val="000000" w:themeColor="text1"/>
                <w:sz w:val="16"/>
              </w:rPr>
              <w:t>総数</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151</w:t>
            </w:r>
          </w:p>
        </w:tc>
        <w:tc>
          <w:tcPr>
            <w:tcW w:w="74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151</w:t>
            </w:r>
          </w:p>
        </w:tc>
        <w:tc>
          <w:tcPr>
            <w:tcW w:w="744"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147</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153</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150</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default"/>
                <w:color w:val="000000" w:themeColor="text1"/>
                <w:sz w:val="16"/>
              </w:rPr>
              <w:t>148</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eastAsia"/>
                <w:color w:val="000000" w:themeColor="text1"/>
                <w:sz w:val="16"/>
              </w:rPr>
              <w:t>144</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eastAsia"/>
                <w:color w:val="000000" w:themeColor="text1"/>
                <w:sz w:val="16"/>
              </w:rPr>
              <w:t>136</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eastAsia"/>
                <w:color w:val="000000" w:themeColor="text1"/>
                <w:sz w:val="16"/>
              </w:rPr>
              <w:t>129</w:t>
            </w:r>
          </w:p>
        </w:tc>
        <w:tc>
          <w:tcPr>
            <w:tcW w:w="771"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eastAsia"/>
                <w:color w:val="000000" w:themeColor="text1"/>
                <w:sz w:val="16"/>
              </w:rPr>
              <w:t>110</w:t>
            </w:r>
          </w:p>
        </w:tc>
        <w:tc>
          <w:tcPr>
            <w:tcW w:w="773" w:type="dxa"/>
            <w:tcBorders>
              <w:top w:val="none" w:color="auto" w:sz="0" w:space="0"/>
              <w:left w:val="none" w:color="auto" w:sz="0" w:space="0"/>
              <w:bottom w:val="none" w:color="auto" w:sz="0" w:space="0"/>
              <w:right w:val="none" w:color="auto" w:sz="0" w:space="0"/>
              <w:tl2br w:val="nil"/>
              <w:tr2bl w:val="nil"/>
            </w:tcBorders>
            <w:shd w:val="clear" w:color="auto" w:fill="auto"/>
            <w:vAlign w:val="top"/>
          </w:tcPr>
          <w:p>
            <w:pPr>
              <w:pStyle w:val="21"/>
              <w:spacing w:line="240" w:lineRule="auto"/>
              <w:ind w:left="0" w:leftChars="0" w:right="0" w:rightChars="0" w:firstLine="0" w:firstLineChars="0"/>
              <w:jc w:val="right"/>
              <w:rPr>
                <w:rFonts w:hint="default"/>
                <w:color w:val="000000" w:themeColor="text1"/>
                <w:sz w:val="16"/>
              </w:rPr>
            </w:pPr>
            <w:r>
              <w:rPr>
                <w:rFonts w:hint="eastAsia"/>
                <w:color w:val="000000" w:themeColor="text1"/>
                <w:sz w:val="16"/>
              </w:rPr>
              <w:t>93</w:t>
            </w:r>
          </w:p>
        </w:tc>
      </w:tr>
    </w:tbl>
    <w:p>
      <w:pPr>
        <w:pStyle w:val="0"/>
        <w:widowControl w:val="1"/>
        <w:jc w:val="center"/>
        <w:rPr>
          <w:rFonts w:hint="default"/>
          <w:color w:val="000000" w:themeColor="text1"/>
        </w:rPr>
      </w:pPr>
    </w:p>
    <w:p>
      <w:pPr>
        <w:pStyle w:val="0"/>
        <w:widowControl w:val="1"/>
        <w:jc w:val="left"/>
        <w:rPr>
          <w:rFonts w:hint="default"/>
          <w:color w:val="000000" w:themeColor="text1"/>
        </w:rPr>
      </w:pPr>
    </w:p>
    <w:p>
      <w:pPr>
        <w:pStyle w:val="0"/>
        <w:widowControl w:val="1"/>
        <w:jc w:val="left"/>
        <w:rPr>
          <w:rFonts w:hint="default"/>
          <w:color w:val="000000" w:themeColor="text1"/>
        </w:rPr>
      </w:pPr>
    </w:p>
    <w:p>
      <w:pPr>
        <w:pStyle w:val="38"/>
        <w:rPr>
          <w:rFonts w:hint="default"/>
          <w:color w:val="000000" w:themeColor="text1"/>
        </w:rPr>
      </w:pPr>
      <w:r>
        <w:rPr>
          <w:rFonts w:hint="eastAsia"/>
          <w:color w:val="000000" w:themeColor="text1"/>
        </w:rPr>
        <w:t>第２節　介護保険サービス量の見込み</w:t>
      </w:r>
      <w:bookmarkEnd w:id="36"/>
    </w:p>
    <w:p>
      <w:pPr>
        <w:pStyle w:val="0"/>
        <w:widowControl w:val="1"/>
        <w:snapToGrid w:val="0"/>
        <w:spacing w:line="60" w:lineRule="auto"/>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介護予防サービス</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（１）サービスの概要</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介護予防サービスは、要支援１，２の認定を受けた人が利用するサービスです。</w:t>
      </w:r>
    </w:p>
    <w:tbl>
      <w:tblPr>
        <w:tblStyle w:val="72"/>
        <w:tblpPr w:leftFromText="0" w:rightFromText="0" w:topFromText="0" w:bottomFromText="0" w:vertAnchor="text" w:horzAnchor="margin" w:tblpX="212" w:tblpY="115"/>
        <w:tblOverlap w:val="never"/>
        <w:tblW w:w="8784" w:type="dxa"/>
        <w:tblLayout w:type="fixed"/>
        <w:tblLook w:firstRow="1" w:lastRow="0" w:firstColumn="1" w:lastColumn="0" w:noHBand="0" w:noVBand="1" w:val="04A0"/>
      </w:tblPr>
      <w:tblGrid>
        <w:gridCol w:w="1838"/>
        <w:gridCol w:w="6946"/>
      </w:tblGrid>
      <w:tr>
        <w:trPr/>
        <w:tc>
          <w:tcPr>
            <w:tcW w:w="183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サービス</w:t>
            </w:r>
          </w:p>
        </w:tc>
        <w:tc>
          <w:tcPr>
            <w:tcW w:w="6946" w:type="dxa"/>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概要</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①介護予防訪問入浴介護</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要支援者が、居宅において専用の浴槽（移動入浴車）を使用し、介護士や看護師から入浴の補助を受けられるサービスです。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②介護予防訪問看護</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要支援者で疾患等を抱えている方が居宅において、看護師等から療養上の世話や診療の補助が受けられるサービスです。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③介護予防訪問リハビリテーション</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要支援者で居宅での日常生活行為を向上させる訓練を必要とする方が、理学療法士や作業療法士、言語聴覚士等によるリハビリテーションを居宅において受けられるサービスです。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④介護予防居宅療養管理指導</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要支援者が居宅において、医師や歯科医師、薬剤師、管理栄養士等から療養上の管理及び指導が受けられるサービスです。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⑤介護予防通所リハビリテーション</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要支援者が介護</w:t>
            </w:r>
            <w:r>
              <w:rPr>
                <w:rFonts w:hint="default" w:ascii="メイリオ" w:hAnsi="メイリオ" w:eastAsia="メイリオ"/>
                <w:color w:val="000000" w:themeColor="text1"/>
                <w:sz w:val="18"/>
              </w:rPr>
              <w:t xml:space="preserve"> </w:t>
            </w:r>
            <w:r>
              <w:rPr>
                <w:rFonts w:hint="default" w:ascii="メイリオ" w:hAnsi="メイリオ" w:eastAsia="メイリオ"/>
                <w:color w:val="000000" w:themeColor="text1"/>
                <w:sz w:val="18"/>
              </w:rPr>
              <w:t>老人保健施設や病院等において、心身の機能の維持回復と日常生活の自立を図るため、理学療法、作業療法、その他必要なリハビリテーションを受けられるサービスです。（デイケアともいいます。）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⑥介護予防短期入所生活介護</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要支援者が特別養護老人ホームや老人短期入所施設等に短期間入所し、入浴・排泄・食事等の介護、その他の日常生活上の世話や機能訓練等が受けられるサービスです。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⑦介護予防短期入所療養介護</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要支援者が介護老人保健施設や介護療養型医療施設等に短期間入所し、看護、その他の必要な医療と日常生活上の世話等が受けられるサービスです。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⑧介護予防福祉用具貸与</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要支援者について、日常生活の便宜を図り、自立を助けるための歩行器や歩行補助つえ等の介護予防に資する福祉用具を貸与するサービスです。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⑨特定介護予防福祉用具購入</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について、日常生活の便宜を図り、自立を助けるための福祉用具のうち、貸与になじまない入浴や排泄のための用具の購入に関し、申請に基づいて福祉用具購入費を支給するサービスです。（支給限度基準額：年間</w:t>
            </w:r>
            <w:r>
              <w:rPr>
                <w:rFonts w:hint="default" w:ascii="メイリオ" w:hAnsi="メイリオ" w:eastAsia="メイリオ"/>
                <w:color w:val="000000" w:themeColor="text1"/>
                <w:sz w:val="18"/>
              </w:rPr>
              <w:t>10</w:t>
            </w:r>
            <w:r>
              <w:rPr>
                <w:rFonts w:hint="default" w:ascii="メイリオ" w:hAnsi="メイリオ" w:eastAsia="メイリオ"/>
                <w:color w:val="000000" w:themeColor="text1"/>
                <w:sz w:val="18"/>
              </w:rPr>
              <w:t>万円）</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⑩介護予防住宅改修</w:t>
            </w:r>
          </w:p>
        </w:tc>
        <w:tc>
          <w:tcPr>
            <w:tcW w:w="6946" w:type="dxa"/>
            <w:vAlign w:val="top"/>
          </w:tcPr>
          <w:p>
            <w:pPr>
              <w:pStyle w:val="0"/>
              <w:widowControl w:val="1"/>
              <w:snapToGrid w:val="0"/>
              <w:spacing w:line="216"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要支援者の居宅における日常生活の自立のため、手すりの取り付けや床等の段差解消の工事等に関し、申請に基づいて住宅改修費を支給するサービスです。（支給限度基準額：</w:t>
            </w:r>
            <w:r>
              <w:rPr>
                <w:rFonts w:hint="default" w:ascii="メイリオ" w:hAnsi="メイリオ" w:eastAsia="メイリオ"/>
                <w:color w:val="000000" w:themeColor="text1"/>
                <w:sz w:val="18"/>
              </w:rPr>
              <w:t>20</w:t>
            </w:r>
            <w:r>
              <w:rPr>
                <w:rFonts w:hint="default" w:ascii="メイリオ" w:hAnsi="メイリオ" w:eastAsia="メイリオ"/>
                <w:color w:val="000000" w:themeColor="text1"/>
                <w:sz w:val="18"/>
              </w:rPr>
              <w:t>万円）</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⑪介護予防特定施設入居者生活介護</w:t>
            </w:r>
          </w:p>
        </w:tc>
        <w:tc>
          <w:tcPr>
            <w:tcW w:w="6946" w:type="dxa"/>
            <w:vAlign w:val="top"/>
          </w:tcPr>
          <w:p>
            <w:pPr>
              <w:pStyle w:val="0"/>
              <w:widowControl w:val="1"/>
              <w:snapToGrid w:val="0"/>
              <w:spacing w:line="216" w:lineRule="auto"/>
              <w:ind w:firstLine="157" w:firstLineChars="87"/>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特定の施設（要届出）の有料老人ホームやケアハウス等に入居する要支援者が、入浴・排泄・食事等の介護や、その他の日常生活上の世話や機能訓練等が受けられるサービスです。</w:t>
            </w:r>
          </w:p>
        </w:tc>
      </w:tr>
    </w:tbl>
    <w:p>
      <w:pPr>
        <w:pStyle w:val="0"/>
        <w:widowControl w:val="1"/>
        <w:jc w:val="center"/>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（２）サービスの実績と見込み</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介護予防サービスの利用を以下のとおり見込みます。</w:t>
      </w:r>
    </w:p>
    <w:tbl>
      <w:tblPr>
        <w:tblStyle w:val="11"/>
        <w:tblW w:w="8434" w:type="dxa"/>
        <w:jc w:val="center"/>
        <w:tblInd w:w="0" w:type="dxa"/>
        <w:tblLayout w:type="fixed"/>
        <w:tblCellMar>
          <w:left w:w="99" w:type="dxa"/>
          <w:right w:w="99" w:type="dxa"/>
        </w:tblCellMar>
        <w:tblLook w:firstRow="1" w:lastRow="0" w:firstColumn="1" w:lastColumn="0" w:noHBand="0" w:noVBand="1" w:val="04A0"/>
      </w:tblPr>
      <w:tblGrid>
        <w:gridCol w:w="2119"/>
        <w:gridCol w:w="989"/>
        <w:gridCol w:w="887"/>
        <w:gridCol w:w="887"/>
        <w:gridCol w:w="888"/>
        <w:gridCol w:w="887"/>
        <w:gridCol w:w="887"/>
        <w:gridCol w:w="890"/>
      </w:tblGrid>
      <w:tr>
        <w:trPr>
          <w:trHeight w:val="340" w:hRule="atLeast"/>
        </w:trPr>
        <w:tc>
          <w:tcPr>
            <w:tcW w:w="2120" w:type="dxa"/>
            <w:vMerge w:val="restart"/>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989" w:type="dxa"/>
            <w:vMerge w:val="restart"/>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単位</w:t>
            </w:r>
          </w:p>
        </w:tc>
        <w:tc>
          <w:tcPr>
            <w:tcW w:w="2662" w:type="dxa"/>
            <w:gridSpan w:val="3"/>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第８期実績</w:t>
            </w:r>
          </w:p>
        </w:tc>
        <w:tc>
          <w:tcPr>
            <w:tcW w:w="2663" w:type="dxa"/>
            <w:gridSpan w:val="3"/>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第９期見込み</w:t>
            </w:r>
          </w:p>
        </w:tc>
      </w:tr>
      <w:tr>
        <w:trPr>
          <w:trHeight w:val="340" w:hRule="atLeast"/>
        </w:trPr>
        <w:tc>
          <w:tcPr>
            <w:tcW w:w="2120" w:type="dxa"/>
            <w:vMerge w:val="continue"/>
            <w:tcBorders>
              <w:top w:val="single" w:color="auto"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989" w:type="dxa"/>
            <w:vMerge w:val="continue"/>
            <w:tcBorders>
              <w:top w:val="single" w:color="auto"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令和３</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令和４</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令和５</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6</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7</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8</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r>
      <w:tr>
        <w:trPr>
          <w:trHeight w:val="501" w:hRule="atLeast"/>
        </w:trPr>
        <w:tc>
          <w:tcPr>
            <w:tcW w:w="2120" w:type="dxa"/>
            <w:vMerge w:val="restart"/>
            <w:tcBorders>
              <w:top w:val="single" w:color="A6A6A6" w:themeColor="background1" w:themeShade="A6" w:sz="6" w:space="0"/>
              <w:left w:val="single" w:color="A6A6A6" w:themeColor="background1" w:themeShade="A6" w:sz="6"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介護予防訪問入浴介護</w:t>
            </w:r>
          </w:p>
        </w:tc>
        <w:tc>
          <w:tcPr>
            <w:tcW w:w="989"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6"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eastAsia"/>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介護予防訪問看護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eastAsia"/>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③</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介護予防訪問リハビリテーション</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④</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介護予防居宅療養管理指導</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2</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r>
      <w:tr>
        <w:trPr>
          <w:trHeight w:val="501" w:hRule="atLeast"/>
        </w:trPr>
        <w:tc>
          <w:tcPr>
            <w:tcW w:w="2120"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⑤</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介護予防通所リハビリテーション</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⑥</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介護予防短期入所生活介護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0.8</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0.0</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1</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⑦</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介護予防短期入所療養介護（老健）</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⑦</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介護予防短期入所療養介護（病院等）</w:t>
            </w:r>
          </w:p>
        </w:tc>
        <w:tc>
          <w:tcPr>
            <w:tcW w:w="989"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vMerge w:val="restart"/>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⑦</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介護予防短期入所療養介護（介護医療院）</w:t>
            </w:r>
          </w:p>
        </w:tc>
        <w:tc>
          <w:tcPr>
            <w:tcW w:w="989"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501" w:hRule="atLeast"/>
        </w:trPr>
        <w:tc>
          <w:tcPr>
            <w:tcW w:w="2120"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01" w:hRule="atLeast"/>
        </w:trPr>
        <w:tc>
          <w:tcPr>
            <w:tcW w:w="2120"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⑧</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介護予防福祉用具貸与</w:t>
            </w: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13</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17</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19</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20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19</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19</w:t>
            </w:r>
          </w:p>
        </w:tc>
      </w:tr>
      <w:tr>
        <w:trPr>
          <w:trHeight w:val="501" w:hRule="atLeast"/>
        </w:trPr>
        <w:tc>
          <w:tcPr>
            <w:tcW w:w="2120"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⑨</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特定介護予防福祉用具購入</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1</w:t>
            </w:r>
          </w:p>
        </w:tc>
      </w:tr>
      <w:tr>
        <w:trPr>
          <w:trHeight w:val="501" w:hRule="atLeast"/>
        </w:trPr>
        <w:tc>
          <w:tcPr>
            <w:tcW w:w="2120"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⑩</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介護予防住宅改修</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w w:val="90"/>
                <w:kern w:val="0"/>
                <w:sz w:val="18"/>
              </w:rPr>
              <w:t>1</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w w:val="90"/>
                <w:kern w:val="0"/>
                <w:sz w:val="18"/>
              </w:rPr>
              <w:t>1</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w w:val="90"/>
                <w:kern w:val="0"/>
                <w:sz w:val="18"/>
              </w:rPr>
              <w:t>1</w:t>
            </w:r>
          </w:p>
        </w:tc>
      </w:tr>
      <w:tr>
        <w:trPr>
          <w:trHeight w:val="501" w:hRule="atLeast"/>
        </w:trPr>
        <w:tc>
          <w:tcPr>
            <w:tcW w:w="2120"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⑪</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介護予防特定施設入居者生活介護</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2</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bl>
    <w:p>
      <w:pPr>
        <w:pStyle w:val="40"/>
        <w:rPr>
          <w:rFonts w:hint="default"/>
          <w:color w:val="000000" w:themeColor="text1"/>
        </w:rPr>
      </w:pPr>
    </w:p>
    <w:p>
      <w:pPr>
        <w:pStyle w:val="40"/>
        <w:rPr>
          <w:rFonts w:hint="default"/>
          <w:color w:val="000000" w:themeColor="text1"/>
        </w:rPr>
      </w:pPr>
    </w:p>
    <w:p>
      <w:pPr>
        <w:pStyle w:val="40"/>
        <w:rPr>
          <w:rFonts w:hint="default"/>
          <w:color w:val="000000" w:themeColor="text1"/>
        </w:rPr>
      </w:pPr>
      <w:r>
        <w:rPr>
          <w:rFonts w:hint="eastAsia"/>
          <w:color w:val="000000" w:themeColor="text1"/>
        </w:rPr>
        <w:t>２　居宅サービス</w:t>
      </w:r>
    </w:p>
    <w:p>
      <w:pPr>
        <w:pStyle w:val="40"/>
        <w:rPr>
          <w:rFonts w:hint="default"/>
          <w:b w:val="0"/>
          <w:color w:val="000000" w:themeColor="text1"/>
        </w:rPr>
      </w:pPr>
      <w:r>
        <w:rPr>
          <w:rFonts w:hint="eastAsia"/>
          <w:b w:val="0"/>
          <w:color w:val="000000" w:themeColor="text1"/>
        </w:rPr>
        <w:t>（１）サービスの概要</w:t>
      </w:r>
    </w:p>
    <w:p>
      <w:pPr>
        <w:pStyle w:val="40"/>
        <w:snapToGrid w:val="0"/>
        <w:ind w:left="240" w:hanging="240" w:hangingChars="100"/>
        <w:rPr>
          <w:rFonts w:hint="default"/>
          <w:b w:val="0"/>
          <w:color w:val="000000" w:themeColor="text1"/>
        </w:rPr>
      </w:pPr>
      <w:r>
        <w:rPr>
          <w:rFonts w:hint="eastAsia"/>
          <w:b w:val="0"/>
          <w:color w:val="000000" w:themeColor="text1"/>
        </w:rPr>
        <w:t>　　居宅サービスとは、要介護の認定を受けた人が、居宅つまり住まいで利用するサービスです。</w:t>
      </w:r>
    </w:p>
    <w:tbl>
      <w:tblPr>
        <w:tblStyle w:val="72"/>
        <w:tblW w:w="8605" w:type="dxa"/>
        <w:tblInd w:w="0" w:type="dxa"/>
        <w:tblLayout w:type="fixed"/>
        <w:tblLook w:firstRow="1" w:lastRow="0" w:firstColumn="1" w:lastColumn="0" w:noHBand="0" w:noVBand="1" w:val="04A0"/>
      </w:tblPr>
      <w:tblGrid>
        <w:gridCol w:w="1838"/>
        <w:gridCol w:w="6767"/>
      </w:tblGrid>
      <w:tr>
        <w:trPr/>
        <w:tc>
          <w:tcPr>
            <w:tcW w:w="183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サービス</w:t>
            </w:r>
          </w:p>
        </w:tc>
        <w:tc>
          <w:tcPr>
            <w:tcW w:w="6767" w:type="dxa"/>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概要</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①訪問介護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要介護者が居宅において、入浴・排泄・食事等の身体介護や、調理・掃除・洗濯等の生活援助等が受けられるサービスです。</w:t>
            </w:r>
          </w:p>
          <w:p>
            <w:pPr>
              <w:pStyle w:val="0"/>
              <w:widowControl w:val="1"/>
              <w:snapToGrid w:val="0"/>
              <w:spacing w:line="204" w:lineRule="auto"/>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なお、生活援助については、ひとり暮らしまたは同居家族等が、障がいや疾病等のため、本人や同居家族が家事等を行うことが困難な場合のみ利用できます。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②訪問入浴介護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要介護者が、居宅において専用の浴槽（移動入浴車）を使用し、介護士や看護師から入浴の補助を受けられるサービスです。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③訪問看護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要介護者で疾患等を抱えている方が居宅において、看護師等から療養上の世話や診療の補助が受けられるサービスです。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④訪問リハビリテーション</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要介護者で居宅での日常生活行為を向上させる訓練を必要とする方が、理学療法士や作業療法士、言語聴覚士等によるリハビリテーションを居宅において受けられるサービスです。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⑤居宅療養管理指導</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要介護者が居宅において、医師や歯科医師、薬剤師、管理栄養士等から療養上の管理及び指導が受けられるサービスです。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⑥通所介護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通所介護施設において、入浴・排泄・食事等の介護、生活等に関する相談と助言、健康状態の確認、その他必要な日常生活上の世話や機能訓練等が受けられるサービスです。（デイサービスともいいます。）</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⑦通所リハビリテーション</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要介護者が介護</w:t>
            </w:r>
            <w:r>
              <w:rPr>
                <w:rFonts w:hint="default" w:ascii="メイリオ" w:hAnsi="メイリオ" w:eastAsia="メイリオ"/>
                <w:color w:val="000000" w:themeColor="text1"/>
                <w:sz w:val="18"/>
              </w:rPr>
              <w:t xml:space="preserve"> </w:t>
            </w:r>
            <w:r>
              <w:rPr>
                <w:rFonts w:hint="default" w:ascii="メイリオ" w:hAnsi="メイリオ" w:eastAsia="メイリオ"/>
                <w:color w:val="000000" w:themeColor="text1"/>
                <w:sz w:val="18"/>
              </w:rPr>
              <w:t>老人保健施設や病院等において、心身の機能の維持回復と日常生活の自立を図るため、理学療法、作業療法、その他必要なリハビリテーションを受けられるサービスです。（デイケアともいいます。）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⑧短期入所生活介護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要介護者が特別養護老人ホームや老人短期入所施設等に短期間入所し、入浴・排泄・食事等の介護、その他の日常生活上の世話や機能訓練等が受けられるサービスです。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⑨短期入所療養介護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要介護者が介護老人保健施設や介護療養型医療施設等に短期間入所し、看護、その他の必要な医療と日常生活上の世話等が受けられるサービスです。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b w:val="1"/>
                <w:color w:val="000000" w:themeColor="text1"/>
                <w:sz w:val="18"/>
              </w:rPr>
            </w:pPr>
            <w:r>
              <w:rPr>
                <w:rFonts w:hint="eastAsia" w:ascii="メイリオ" w:hAnsi="メイリオ" w:eastAsia="メイリオ"/>
                <w:b w:val="1"/>
                <w:color w:val="000000" w:themeColor="text1"/>
                <w:sz w:val="18"/>
              </w:rPr>
              <w:t>⑩福祉用具貸与</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要介護者について、日常生活の便宜を図り、自立を助けるための歩行器や歩行補助つえ等の介護予防に資する福祉用具を貸与するサービスです。</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⑪特定福祉用具購入</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について、日常生活の便宜を図り、自立を助けるための福祉用具のうち、貸与になじまない入浴や排泄のための用具の購入に関し、申請に基づいて福祉用具購入費を支給するサービスです。（支給限度基準額：年間</w:t>
            </w:r>
            <w:r>
              <w:rPr>
                <w:rFonts w:hint="default" w:ascii="メイリオ" w:hAnsi="メイリオ" w:eastAsia="メイリオ"/>
                <w:color w:val="000000" w:themeColor="text1"/>
                <w:sz w:val="18"/>
              </w:rPr>
              <w:t>10</w:t>
            </w:r>
            <w:r>
              <w:rPr>
                <w:rFonts w:hint="default" w:ascii="メイリオ" w:hAnsi="メイリオ" w:eastAsia="メイリオ"/>
                <w:color w:val="000000" w:themeColor="text1"/>
                <w:sz w:val="18"/>
              </w:rPr>
              <w:t>万円）</w:t>
            </w:r>
          </w:p>
        </w:tc>
      </w:tr>
      <w:tr>
        <w:trPr/>
        <w:tc>
          <w:tcPr>
            <w:tcW w:w="1838" w:type="dxa"/>
            <w:shd w:val="clear" w:color="auto" w:themeFill="accent1" w:themeFillTint="33" w:themeFillShade="FF"/>
            <w:vAlign w:val="center"/>
          </w:tcPr>
          <w:p>
            <w:pPr>
              <w:pStyle w:val="0"/>
              <w:widowControl w:val="1"/>
              <w:snapToGrid w:val="0"/>
              <w:spacing w:line="192" w:lineRule="auto"/>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⑫住宅改修</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要介護者の居宅における日常生活の自立のため、手すりの取り付けや床等の段差解消の工事等に関し、申請に基づいて住宅改修費を支給するサービスです。（支給限度基準額：</w:t>
            </w:r>
            <w:r>
              <w:rPr>
                <w:rFonts w:hint="default" w:ascii="メイリオ" w:hAnsi="メイリオ" w:eastAsia="メイリオ"/>
                <w:color w:val="000000" w:themeColor="text1"/>
                <w:sz w:val="18"/>
              </w:rPr>
              <w:t>20</w:t>
            </w:r>
            <w:r>
              <w:rPr>
                <w:rFonts w:hint="default" w:ascii="メイリオ" w:hAnsi="メイリオ" w:eastAsia="メイリオ"/>
                <w:color w:val="000000" w:themeColor="text1"/>
                <w:sz w:val="18"/>
              </w:rPr>
              <w:t>万円）</w:t>
            </w:r>
          </w:p>
        </w:tc>
      </w:tr>
      <w:tr>
        <w:trPr/>
        <w:tc>
          <w:tcPr>
            <w:tcW w:w="1838" w:type="dxa"/>
            <w:shd w:val="clear" w:color="auto" w:themeFill="accent1" w:themeFillTint="33" w:themeFillShade="FF"/>
            <w:vAlign w:val="center"/>
          </w:tcPr>
          <w:p>
            <w:pPr>
              <w:pStyle w:val="0"/>
              <w:widowControl w:val="1"/>
              <w:snapToGrid w:val="0"/>
              <w:spacing w:line="192" w:lineRule="auto"/>
              <w:ind w:left="180" w:hanging="180" w:hanging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⑬特定施設入居者生活介護</w:t>
            </w:r>
          </w:p>
        </w:tc>
        <w:tc>
          <w:tcPr>
            <w:tcW w:w="6767" w:type="dxa"/>
            <w:vAlign w:val="top"/>
          </w:tcPr>
          <w:p>
            <w:pPr>
              <w:pStyle w:val="0"/>
              <w:widowControl w:val="1"/>
              <w:snapToGrid w:val="0"/>
              <w:spacing w:line="204" w:lineRule="auto"/>
              <w:ind w:firstLine="180" w:firstLineChars="100"/>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特定の施設の有料老人ホームやケアハウス等に入居する要介護者が、入浴・排泄・食事等の介護や、その他の日常生活上の世話や機能訓練等が受けられるサービスです。</w:t>
            </w:r>
          </w:p>
        </w:tc>
      </w:tr>
    </w:tbl>
    <w:p>
      <w:pPr>
        <w:pStyle w:val="40"/>
        <w:rPr>
          <w:rFonts w:hint="default"/>
          <w:b w:val="0"/>
          <w:color w:val="000000" w:themeColor="text1"/>
        </w:rPr>
      </w:pPr>
      <w:r>
        <w:rPr>
          <w:rFonts w:hint="eastAsia"/>
          <w:b w:val="0"/>
          <w:color w:val="000000" w:themeColor="text1"/>
        </w:rPr>
        <w:t>（２）サービスの実績と見込み</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居宅サービスの利用を以下のとおり見込みます。</w:t>
      </w:r>
    </w:p>
    <w:tbl>
      <w:tblPr>
        <w:tblStyle w:val="11"/>
        <w:tblW w:w="8434" w:type="dxa"/>
        <w:jc w:val="center"/>
        <w:tblInd w:w="0" w:type="dxa"/>
        <w:tblLayout w:type="fixed"/>
        <w:tblCellMar>
          <w:left w:w="99" w:type="dxa"/>
          <w:right w:w="99" w:type="dxa"/>
        </w:tblCellMar>
        <w:tblLook w:firstRow="1" w:lastRow="0" w:firstColumn="1" w:lastColumn="0" w:noHBand="0" w:noVBand="1" w:val="04A0"/>
      </w:tblPr>
      <w:tblGrid>
        <w:gridCol w:w="2119"/>
        <w:gridCol w:w="989"/>
        <w:gridCol w:w="887"/>
        <w:gridCol w:w="887"/>
        <w:gridCol w:w="888"/>
        <w:gridCol w:w="887"/>
        <w:gridCol w:w="887"/>
        <w:gridCol w:w="890"/>
      </w:tblGrid>
      <w:tr>
        <w:trPr>
          <w:trHeight w:val="340" w:hRule="atLeast"/>
          <w:tblHeader/>
        </w:trPr>
        <w:tc>
          <w:tcPr>
            <w:tcW w:w="2119" w:type="dxa"/>
            <w:vMerge w:val="restart"/>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989" w:type="dxa"/>
            <w:vMerge w:val="restart"/>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単位</w:t>
            </w:r>
          </w:p>
        </w:tc>
        <w:tc>
          <w:tcPr>
            <w:tcW w:w="2662" w:type="dxa"/>
            <w:gridSpan w:val="3"/>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第８期実績</w:t>
            </w:r>
          </w:p>
        </w:tc>
        <w:tc>
          <w:tcPr>
            <w:tcW w:w="2664" w:type="dxa"/>
            <w:gridSpan w:val="3"/>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第９期見込み</w:t>
            </w:r>
          </w:p>
        </w:tc>
      </w:tr>
      <w:tr>
        <w:trPr>
          <w:trHeight w:val="340" w:hRule="atLeast"/>
          <w:tblHeader/>
        </w:trPr>
        <w:tc>
          <w:tcPr>
            <w:tcW w:w="2119" w:type="dxa"/>
            <w:vMerge w:val="continue"/>
            <w:tcBorders>
              <w:top w:val="single" w:color="auto"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989" w:type="dxa"/>
            <w:vMerge w:val="continue"/>
            <w:tcBorders>
              <w:top w:val="single" w:color="auto"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令和３</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令和４</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8"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令和５</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6</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7</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8</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r>
      <w:tr>
        <w:trPr>
          <w:trHeight w:val="340" w:hRule="atLeast"/>
        </w:trPr>
        <w:tc>
          <w:tcPr>
            <w:tcW w:w="2119" w:type="dxa"/>
            <w:vMerge w:val="restart"/>
            <w:tcBorders>
              <w:top w:val="single" w:color="A6A6A6" w:themeColor="background1" w:themeShade="A6" w:sz="6"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訪問介護</w:t>
            </w:r>
          </w:p>
        </w:tc>
        <w:tc>
          <w:tcPr>
            <w:tcW w:w="989"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504.4 </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616.0 </w:t>
            </w:r>
          </w:p>
        </w:tc>
        <w:tc>
          <w:tcPr>
            <w:tcW w:w="888"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649.2 </w:t>
            </w:r>
          </w:p>
        </w:tc>
        <w:tc>
          <w:tcPr>
            <w:tcW w:w="887" w:type="dxa"/>
            <w:tcBorders>
              <w:top w:val="single" w:color="A6A6A6" w:themeColor="background1" w:themeShade="A6" w:sz="6"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560.0 </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560.0 </w:t>
            </w:r>
          </w:p>
        </w:tc>
        <w:tc>
          <w:tcPr>
            <w:tcW w:w="890"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560.0 </w:t>
            </w:r>
          </w:p>
        </w:tc>
      </w:tr>
      <w:tr>
        <w:trPr>
          <w:trHeight w:val="340" w:hRule="atLeast"/>
        </w:trPr>
        <w:tc>
          <w:tcPr>
            <w:tcW w:w="2119" w:type="dxa"/>
            <w:vMerge w:val="continue"/>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eastAsia"/>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19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18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17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17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17 </w:t>
            </w:r>
          </w:p>
        </w:tc>
      </w:tr>
      <w:tr>
        <w:trPr>
          <w:trHeight w:val="340" w:hRule="atLeast"/>
        </w:trPr>
        <w:tc>
          <w:tcPr>
            <w:tcW w:w="2119" w:type="dxa"/>
            <w:vMerge w:val="restart"/>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訪問入浴介護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6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8.0 </w:t>
            </w:r>
          </w:p>
        </w:tc>
      </w:tr>
      <w:tr>
        <w:trPr>
          <w:trHeight w:val="340"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r>
      <w:tr>
        <w:trPr>
          <w:trHeight w:val="355" w:hRule="atLeast"/>
        </w:trPr>
        <w:tc>
          <w:tcPr>
            <w:tcW w:w="2119" w:type="dxa"/>
            <w:vMerge w:val="restart"/>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③</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訪問看護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2.4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7.4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1.0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r>
      <w:tr>
        <w:trPr>
          <w:trHeight w:val="35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r>
      <w:tr>
        <w:trPr>
          <w:trHeight w:val="355" w:hRule="atLeast"/>
        </w:trPr>
        <w:tc>
          <w:tcPr>
            <w:tcW w:w="2119" w:type="dxa"/>
            <w:vMerge w:val="restart"/>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④</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訪問リハビリテーション</w:t>
            </w:r>
          </w:p>
        </w:tc>
        <w:tc>
          <w:tcPr>
            <w:tcW w:w="989"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16.7 </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14.2 </w:t>
            </w:r>
          </w:p>
        </w:tc>
        <w:tc>
          <w:tcPr>
            <w:tcW w:w="888"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19.7 </w:t>
            </w:r>
          </w:p>
        </w:tc>
        <w:tc>
          <w:tcPr>
            <w:tcW w:w="887" w:type="dxa"/>
            <w:tcBorders>
              <w:top w:val="dotted"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19.0 </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19.0 </w:t>
            </w:r>
          </w:p>
        </w:tc>
        <w:tc>
          <w:tcPr>
            <w:tcW w:w="890"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19.0 </w:t>
            </w:r>
          </w:p>
        </w:tc>
      </w:tr>
      <w:tr>
        <w:trPr>
          <w:trHeight w:val="35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r>
      <w:tr>
        <w:trPr>
          <w:trHeight w:val="534" w:hRule="atLeast"/>
        </w:trPr>
        <w:tc>
          <w:tcPr>
            <w:tcW w:w="2119"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⑤</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居宅療養管理指導</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10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12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12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12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12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12 </w:t>
            </w:r>
          </w:p>
        </w:tc>
      </w:tr>
      <w:tr>
        <w:trPr>
          <w:trHeight w:val="85"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⑥</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通所介護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9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21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17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16.0 </w:t>
            </w:r>
          </w:p>
        </w:tc>
      </w:tr>
      <w:tr>
        <w:trPr>
          <w:trHeight w:val="8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r>
      <w:tr>
        <w:trPr>
          <w:trHeight w:val="85"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⑦</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通所リハビリテーション</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0.9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5.5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0.0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4.0 </w:t>
            </w:r>
          </w:p>
        </w:tc>
      </w:tr>
      <w:tr>
        <w:trPr>
          <w:trHeight w:val="403"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0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0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pageBreakBefore w:val="1"/>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 </w:t>
            </w:r>
          </w:p>
        </w:tc>
      </w:tr>
      <w:tr>
        <w:trPr>
          <w:trHeight w:val="411"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⑧</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短期入所生活介護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90.9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82.4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187.2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102.0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93.0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93.0 </w:t>
            </w:r>
          </w:p>
        </w:tc>
      </w:tr>
      <w:tr>
        <w:trPr>
          <w:trHeight w:val="290"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8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7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10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8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7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7 </w:t>
            </w:r>
          </w:p>
        </w:tc>
      </w:tr>
      <w:tr>
        <w:trPr>
          <w:trHeight w:val="346"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⑨</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短期入所療養介護</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（老健）</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16.5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20.2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20.2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7.0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7.0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9.0 </w:t>
            </w:r>
          </w:p>
        </w:tc>
      </w:tr>
      <w:tr>
        <w:trPr>
          <w:trHeight w:val="35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4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 </w:t>
            </w:r>
          </w:p>
        </w:tc>
      </w:tr>
      <w:tr>
        <w:trPr>
          <w:trHeight w:val="355" w:hRule="atLeast"/>
        </w:trPr>
        <w:tc>
          <w:tcPr>
            <w:tcW w:w="2119" w:type="dxa"/>
            <w:vMerge w:val="restart"/>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⑨</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短期入所療養介護</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（病院等）</w:t>
            </w:r>
          </w:p>
        </w:tc>
        <w:tc>
          <w:tcPr>
            <w:tcW w:w="989"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8"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35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355" w:hRule="atLeast"/>
        </w:trPr>
        <w:tc>
          <w:tcPr>
            <w:tcW w:w="2119" w:type="dxa"/>
            <w:vMerge w:val="restart"/>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⑨</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短期入所療養介護</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（介護医療院）</w:t>
            </w:r>
          </w:p>
        </w:tc>
        <w:tc>
          <w:tcPr>
            <w:tcW w:w="989"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日数</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8"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8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c>
          <w:tcPr>
            <w:tcW w:w="890"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0.0</w:t>
            </w:r>
          </w:p>
        </w:tc>
      </w:tr>
      <w:tr>
        <w:trPr>
          <w:trHeight w:val="35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rPr>
                <w:rFonts w:hint="default"/>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0</w:t>
            </w:r>
          </w:p>
        </w:tc>
      </w:tr>
      <w:tr>
        <w:trPr>
          <w:trHeight w:val="541" w:hRule="atLeast"/>
        </w:trPr>
        <w:tc>
          <w:tcPr>
            <w:tcW w:w="2119" w:type="dxa"/>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⑩</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福祉用具貸与</w:t>
            </w: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31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33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30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30 </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29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29 </w:t>
            </w:r>
          </w:p>
        </w:tc>
      </w:tr>
      <w:tr>
        <w:trPr>
          <w:trHeight w:val="541" w:hRule="atLeast"/>
        </w:trPr>
        <w:tc>
          <w:tcPr>
            <w:tcW w:w="2119"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⑪</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特定福祉用具購入</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r>
      <w:tr>
        <w:trPr>
          <w:trHeight w:val="541" w:hRule="atLeast"/>
        </w:trPr>
        <w:tc>
          <w:tcPr>
            <w:tcW w:w="2119"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⑫</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住宅改修</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0 </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sz w:val="18"/>
              </w:rPr>
              <w:t xml:space="preserve">1 </w:t>
            </w:r>
          </w:p>
        </w:tc>
      </w:tr>
      <w:tr>
        <w:trPr>
          <w:trHeight w:val="541" w:hRule="atLeast"/>
        </w:trPr>
        <w:tc>
          <w:tcPr>
            <w:tcW w:w="2119"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⑬</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特定施設入居者</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生活介護</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6 </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 </w:t>
            </w:r>
          </w:p>
        </w:tc>
        <w:tc>
          <w:tcPr>
            <w:tcW w:w="88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9 </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 </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 </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sz w:val="18"/>
              </w:rPr>
              <w:t xml:space="preserve">8 </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b w:val="1"/>
          <w:color w:val="000000" w:themeColor="text1"/>
          <w:sz w:val="24"/>
        </w:rPr>
      </w:pPr>
      <w:r>
        <w:rPr>
          <w:rFonts w:hint="default"/>
          <w:color w:val="000000" w:themeColor="text1"/>
        </w:rPr>
        <w:br w:type="page"/>
      </w:r>
    </w:p>
    <w:p>
      <w:pPr>
        <w:pStyle w:val="40"/>
        <w:rPr>
          <w:rFonts w:hint="default"/>
          <w:color w:val="000000" w:themeColor="text1"/>
        </w:rPr>
      </w:pPr>
      <w:r>
        <w:rPr>
          <w:rFonts w:hint="eastAsia"/>
          <w:color w:val="000000" w:themeColor="text1"/>
        </w:rPr>
        <w:t>３　地域密着型介護予防サービス・地域密着型サービス</w:t>
      </w:r>
    </w:p>
    <w:p>
      <w:pPr>
        <w:pStyle w:val="40"/>
        <w:ind w:left="240" w:hanging="240" w:hangingChars="100"/>
        <w:rPr>
          <w:rFonts w:hint="default"/>
          <w:b w:val="0"/>
          <w:color w:val="000000" w:themeColor="text1"/>
        </w:rPr>
      </w:pPr>
      <w:r>
        <w:rPr>
          <w:rFonts w:hint="eastAsia"/>
          <w:b w:val="0"/>
          <w:color w:val="000000" w:themeColor="text1"/>
        </w:rPr>
        <w:t>（１）サービスの概要</w:t>
      </w:r>
    </w:p>
    <w:p>
      <w:pPr>
        <w:pStyle w:val="40"/>
        <w:ind w:left="210" w:leftChars="100" w:firstLine="240" w:firstLineChars="100"/>
        <w:rPr>
          <w:rFonts w:hint="default"/>
          <w:b w:val="0"/>
          <w:color w:val="000000" w:themeColor="text1"/>
        </w:rPr>
      </w:pPr>
      <w:r>
        <w:rPr>
          <w:rFonts w:hint="eastAsia"/>
          <w:b w:val="0"/>
          <w:color w:val="000000" w:themeColor="text1"/>
        </w:rPr>
        <w:t>介護予防サービス、介護サービスともに地域密着で提供するものがあります。</w:t>
      </w:r>
    </w:p>
    <w:tbl>
      <w:tblPr>
        <w:tblStyle w:val="11"/>
        <w:tblW w:w="84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517"/>
        <w:gridCol w:w="1972"/>
        <w:gridCol w:w="1365"/>
        <w:gridCol w:w="4589"/>
      </w:tblGrid>
      <w:tr>
        <w:trPr>
          <w:trHeight w:val="340" w:hRule="atLeast"/>
          <w:tblHeader/>
        </w:trPr>
        <w:tc>
          <w:tcPr>
            <w:tcW w:w="2489" w:type="dxa"/>
            <w:gridSpan w:val="2"/>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対象者</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top"/>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概要</w:t>
            </w:r>
          </w:p>
        </w:tc>
      </w:tr>
      <w:tr>
        <w:trPr>
          <w:cantSplit/>
          <w:trHeight w:val="1134" w:hRule="atLeast"/>
        </w:trPr>
        <w:tc>
          <w:tcPr>
            <w:tcW w:w="517" w:type="dxa"/>
            <w:vMerge w:val="restart"/>
            <w:tcBorders>
              <w:top w:val="single" w:color="A6A6A6" w:themeColor="background1" w:themeShade="A6" w:sz="6"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spacing w:line="240" w:lineRule="exact"/>
              <w:ind w:left="113" w:right="113"/>
              <w:jc w:val="center"/>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地域密着型介護予防サービス</w:t>
            </w: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介護予防認知症</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対応型通所介護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要支援１・２</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認知症の要支援者が通所介護施設等に通い、入浴・排泄・食事等の介護、その他必要な日常生活上の世話等が受けられるサービスです。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介護予防小規模</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多機能型居宅介護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要支援１・２</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要支援者が通所を中心に、利用者の選択に応じて訪問、泊まりのサービスを組み合わせ多機能なサービスを受けられます。</w:t>
            </w:r>
          </w:p>
        </w:tc>
      </w:tr>
      <w:tr>
        <w:trPr>
          <w:trHeight w:val="65" w:hRule="atLeast"/>
        </w:trPr>
        <w:tc>
          <w:tcPr>
            <w:tcW w:w="517" w:type="dxa"/>
            <w:vMerge w:val="continue"/>
            <w:tcBorders>
              <w:top w:val="none" w:color="auto" w:sz="0"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介護予防認知症対応型共同生活介護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要支援２</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の要支援者が、身近な施設（グループホーム）において少人数（１ユニット当たり９人まで）で共同生活を送りながら、家庭的な環境の下で入浴・排泄・食事等の介護、その他必要な日常生活上の世話や機能訓練等が受けられるサービスです。</w:t>
            </w:r>
          </w:p>
        </w:tc>
      </w:tr>
      <w:tr>
        <w:trPr>
          <w:trHeight w:val="65" w:hRule="atLeast"/>
        </w:trPr>
        <w:tc>
          <w:tcPr>
            <w:tcW w:w="517" w:type="dxa"/>
            <w:vMerge w:val="restart"/>
            <w:tcBorders>
              <w:top w:val="single" w:color="A6A6A6" w:themeColor="background1" w:themeShade="A6" w:sz="6"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spacing w:line="240" w:lineRule="exact"/>
              <w:ind w:left="113" w:right="113"/>
              <w:jc w:val="center"/>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地域密着型サービス</w:t>
            </w: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定期巡回・随時対応型訪問介護看護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要介護者の在宅生活を支えるため、日中・夜間を通じて訪問介護と訪問看護を受けられるサービスです。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夜間対応型訪問介護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夜間において、定期的な巡回による訪問介護サービス、利用者の求めに応じた随時の訪問介護サービス、利用者の通報に応じて調整・対応するオペレーションサービスを行います。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地域密着型通所介護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通所介護サービスのうち定員</w:t>
            </w:r>
            <w:r>
              <w:rPr>
                <w:rFonts w:hint="eastAsia" w:ascii="メイリオ" w:hAnsi="メイリオ" w:eastAsia="メイリオ"/>
                <w:color w:val="000000" w:themeColor="text1"/>
                <w:kern w:val="0"/>
                <w:sz w:val="18"/>
              </w:rPr>
              <w:t>18</w:t>
            </w:r>
            <w:r>
              <w:rPr>
                <w:rFonts w:hint="eastAsia" w:ascii="メイリオ" w:hAnsi="メイリオ" w:eastAsia="メイリオ"/>
                <w:color w:val="000000" w:themeColor="text1"/>
                <w:kern w:val="0"/>
                <w:sz w:val="18"/>
              </w:rPr>
              <w:t>名以下の小規模の事業者が行うサービスです。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認知症対応型通所</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認知症の要介護者が通所介護施設等に通い、入浴・排泄・食事等の介護、その他必要な日常生活上の世話等が受けられるサービスです。</w:t>
            </w:r>
          </w:p>
        </w:tc>
      </w:tr>
      <w:tr>
        <w:trPr>
          <w:trHeight w:val="65" w:hRule="atLeast"/>
        </w:trPr>
        <w:tc>
          <w:tcPr>
            <w:tcW w:w="517" w:type="dxa"/>
            <w:vMerge w:val="continue"/>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rPr>
                <w:rFonts w:hint="default"/>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小規模多機能型居宅介護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要介護者が通所を中心に、利用者の選択に応じて訪問、泊まりのサービスを組み合わせ多機能なサービスを受けられます。</w:t>
            </w:r>
          </w:p>
        </w:tc>
      </w:tr>
      <w:tr>
        <w:trPr>
          <w:trHeight w:val="65" w:hRule="atLeast"/>
        </w:trPr>
        <w:tc>
          <w:tcPr>
            <w:tcW w:w="517"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textDirection w:val="tbRlV"/>
            <w:vAlign w:val="center"/>
          </w:tcPr>
          <w:p>
            <w:pPr>
              <w:pStyle w:val="0"/>
              <w:pageBreakBefore w:val="1"/>
              <w:spacing w:line="240" w:lineRule="exact"/>
              <w:ind w:left="113" w:right="113"/>
              <w:jc w:val="center"/>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地域密着型サービス</w:t>
            </w:r>
          </w:p>
        </w:tc>
        <w:tc>
          <w:tcPr>
            <w:tcW w:w="1972"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認知症対応型共同</w:t>
            </w:r>
            <w:r>
              <w:rPr>
                <w:rFonts w:hint="eastAsia" w:ascii="メイリオ" w:hAnsi="メイリオ" w:eastAsia="メイリオ"/>
                <w:b w:val="1"/>
                <w:color w:val="000000" w:themeColor="text1"/>
                <w:kern w:val="0"/>
                <w:sz w:val="18"/>
              </w:rPr>
              <w:br w:type="textWrapping" w:clear="none"/>
            </w:r>
            <w:r>
              <w:rPr>
                <w:rFonts w:hint="eastAsia" w:ascii="メイリオ" w:hAnsi="メイリオ" w:eastAsia="メイリオ"/>
                <w:b w:val="1"/>
                <w:color w:val="000000" w:themeColor="text1"/>
                <w:kern w:val="0"/>
                <w:sz w:val="18"/>
              </w:rPr>
              <w:t>生活介護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の要介護者が、身近な施設（グループホーム）において少人数（１ユニット当たり９人まで）で共同生活を送りながら、家庭的な環境の下で入浴・排泄・食事等の介護、その他必要な日常生活上の世話や機能訓練等が受けられるサービスで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fill="FAF0F2"/>
            <w:vAlign w:val="center"/>
          </w:tcPr>
          <w:p>
            <w:pPr>
              <w:pStyle w:val="0"/>
              <w:spacing w:line="240" w:lineRule="exact"/>
              <w:ind w:left="521"/>
              <w:jc w:val="left"/>
              <w:rPr>
                <w:rFonts w:hint="default" w:ascii="游ゴシック" w:hAnsi="游ゴシック" w:eastAsia="游ゴシック"/>
                <w:b w:val="1"/>
                <w:kern w:val="0"/>
                <w:sz w:val="18"/>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地域密着型特定施設入居者生活介護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介護保険の指定を受けた入居定員が</w:t>
            </w:r>
            <w:r>
              <w:rPr>
                <w:rFonts w:hint="eastAsia" w:ascii="メイリオ" w:hAnsi="メイリオ" w:eastAsia="メイリオ"/>
                <w:color w:val="000000" w:themeColor="text1"/>
                <w:kern w:val="0"/>
                <w:sz w:val="18"/>
              </w:rPr>
              <w:t>29</w:t>
            </w:r>
            <w:r>
              <w:rPr>
                <w:rFonts w:hint="eastAsia" w:ascii="メイリオ" w:hAnsi="メイリオ" w:eastAsia="メイリオ"/>
                <w:color w:val="000000" w:themeColor="text1"/>
                <w:kern w:val="0"/>
                <w:sz w:val="18"/>
              </w:rPr>
              <w:t>人以下の介護付き有料老人ホーム、養護老人ホーム、軽費老人ホーム、サービス付き高齢者向け住宅などが、入居している利用者に対して入浴・排泄・食事等の介護、その他必要な日常生活上の支援を行います。</w:t>
            </w:r>
          </w:p>
        </w:tc>
      </w:tr>
      <w:tr>
        <w:trPr>
          <w:trHeight w:val="65" w:hRule="atLeast"/>
        </w:trPr>
        <w:tc>
          <w:tcPr>
            <w:tcW w:w="517"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fill="FAF0F2"/>
            <w:vAlign w:val="center"/>
          </w:tcPr>
          <w:p>
            <w:pPr>
              <w:pStyle w:val="0"/>
              <w:spacing w:line="240" w:lineRule="exact"/>
              <w:ind w:left="521"/>
              <w:jc w:val="left"/>
              <w:rPr>
                <w:rFonts w:hint="default" w:ascii="游ゴシック" w:hAnsi="游ゴシック" w:eastAsia="游ゴシック"/>
                <w:b w:val="1"/>
                <w:kern w:val="0"/>
                <w:sz w:val="18"/>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地域密着型介護老人福祉施設入所者生活介護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要介護３～５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居宅での介護が困難な要介護者が入所し、入浴・排泄・食事等の日常生活上の世話や機能訓練、療養上の世話が受けられる介護施設サービスです。入所定員が</w:t>
            </w:r>
            <w:r>
              <w:rPr>
                <w:rFonts w:hint="eastAsia" w:ascii="メイリオ" w:hAnsi="メイリオ" w:eastAsia="メイリオ"/>
                <w:color w:val="000000" w:themeColor="text1"/>
                <w:kern w:val="0"/>
                <w:sz w:val="18"/>
              </w:rPr>
              <w:t>29</w:t>
            </w:r>
            <w:r>
              <w:rPr>
                <w:rFonts w:hint="eastAsia" w:ascii="メイリオ" w:hAnsi="メイリオ" w:eastAsia="メイリオ"/>
                <w:color w:val="000000" w:themeColor="text1"/>
                <w:kern w:val="0"/>
                <w:sz w:val="18"/>
              </w:rPr>
              <w:t>名以下の小規模特別養護老人ホームで、入所者が能力に応じて自立した日常生活を送ることを目指します。</w:t>
            </w:r>
          </w:p>
        </w:tc>
      </w:tr>
      <w:tr>
        <w:trPr>
          <w:trHeight w:val="65" w:hRule="atLeast"/>
        </w:trPr>
        <w:tc>
          <w:tcPr>
            <w:tcW w:w="517" w:type="dxa"/>
            <w:vMerge w:val="continue"/>
            <w:tcBorders>
              <w:top w:val="none" w:color="auto" w:sz="0"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fill="FAF0F2"/>
            <w:vAlign w:val="center"/>
          </w:tcPr>
          <w:p>
            <w:pPr>
              <w:pStyle w:val="0"/>
              <w:spacing w:line="240" w:lineRule="exact"/>
              <w:ind w:left="521"/>
              <w:jc w:val="left"/>
              <w:rPr>
                <w:rFonts w:hint="default" w:ascii="游ゴシック" w:hAnsi="游ゴシック" w:eastAsia="游ゴシック"/>
                <w:b w:val="1"/>
                <w:kern w:val="0"/>
                <w:sz w:val="18"/>
              </w:rPr>
            </w:pPr>
          </w:p>
        </w:tc>
        <w:tc>
          <w:tcPr>
            <w:tcW w:w="1972"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35"/>
              <w:numPr>
                <w:ilvl w:val="0"/>
                <w:numId w:val="12"/>
              </w:numPr>
              <w:snapToGrid w:val="0"/>
              <w:spacing w:line="192" w:lineRule="auto"/>
              <w:ind w:left="284" w:leftChars="0" w:hanging="227"/>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看護小規模多機能型居宅介護</w:t>
            </w:r>
          </w:p>
        </w:tc>
        <w:tc>
          <w:tcPr>
            <w:tcW w:w="1365"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snapToGrid w:val="0"/>
              <w:spacing w:line="216" w:lineRule="auto"/>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58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napToGrid w:val="0"/>
              <w:spacing w:before="33" w:beforeLines="10" w:beforeAutospacing="0" w:after="33" w:afterLines="10" w:afterAutospacing="0" w:line="216" w:lineRule="auto"/>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施設への通所を中心として、宿泊サービスや自宅での訪問介護と訪問看護を組み合わせることで、看護と介護を一体化したサービスです。</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（２）サービスの実績と見込み</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地域密着型サービスの利用を以下のとおり見込みます。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434" w:type="dxa"/>
        <w:jc w:val="center"/>
        <w:tblInd w:w="0" w:type="dxa"/>
        <w:tblLayout w:type="fixed"/>
        <w:tblCellMar>
          <w:left w:w="99" w:type="dxa"/>
          <w:right w:w="99" w:type="dxa"/>
        </w:tblCellMar>
        <w:tblLook w:firstRow="1" w:lastRow="0" w:firstColumn="1" w:lastColumn="0" w:noHBand="0" w:noVBand="1" w:val="04A0"/>
      </w:tblPr>
      <w:tblGrid>
        <w:gridCol w:w="2119"/>
        <w:gridCol w:w="989"/>
        <w:gridCol w:w="887"/>
        <w:gridCol w:w="887"/>
        <w:gridCol w:w="888"/>
        <w:gridCol w:w="887"/>
        <w:gridCol w:w="887"/>
        <w:gridCol w:w="890"/>
      </w:tblGrid>
      <w:tr>
        <w:trPr>
          <w:trHeight w:val="340" w:hRule="atLeast"/>
          <w:tblHeader/>
        </w:trPr>
        <w:tc>
          <w:tcPr>
            <w:tcW w:w="2119" w:type="dxa"/>
            <w:vMerge w:val="restart"/>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989" w:type="dxa"/>
            <w:vMerge w:val="restart"/>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単位</w:t>
            </w:r>
          </w:p>
        </w:tc>
        <w:tc>
          <w:tcPr>
            <w:tcW w:w="2662" w:type="dxa"/>
            <w:gridSpan w:val="3"/>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第８期実績</w:t>
            </w:r>
          </w:p>
        </w:tc>
        <w:tc>
          <w:tcPr>
            <w:tcW w:w="2664" w:type="dxa"/>
            <w:gridSpan w:val="3"/>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第９期見込み</w:t>
            </w:r>
          </w:p>
        </w:tc>
      </w:tr>
      <w:tr>
        <w:trPr>
          <w:trHeight w:val="340" w:hRule="atLeast"/>
          <w:tblHeader/>
        </w:trPr>
        <w:tc>
          <w:tcPr>
            <w:tcW w:w="2119" w:type="dxa"/>
            <w:vMerge w:val="continue"/>
            <w:tcBorders>
              <w:top w:val="single" w:color="auto"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989" w:type="dxa"/>
            <w:vMerge w:val="continue"/>
            <w:tcBorders>
              <w:top w:val="single" w:color="auto"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游ゴシック" w:hAnsi="游ゴシック" w:eastAsia="游ゴシック"/>
                <w:color w:val="FFFFFF"/>
                <w:kern w:val="0"/>
                <w:sz w:val="18"/>
              </w:rPr>
            </w:pP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令和３</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令和４</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8"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令和５</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6</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8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7</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890"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8</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r>
      <w:tr>
        <w:trPr>
          <w:trHeight w:val="340" w:hRule="atLeast"/>
        </w:trPr>
        <w:tc>
          <w:tcPr>
            <w:tcW w:w="2119" w:type="dxa"/>
            <w:vMerge w:val="restart"/>
            <w:tcBorders>
              <w:top w:val="single" w:color="A6A6A6" w:themeColor="background1" w:themeShade="A6" w:sz="6"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介護予防認知症対応型通所介護</w:t>
            </w:r>
          </w:p>
        </w:tc>
        <w:tc>
          <w:tcPr>
            <w:tcW w:w="989"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c>
          <w:tcPr>
            <w:tcW w:w="888"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c>
          <w:tcPr>
            <w:tcW w:w="887" w:type="dxa"/>
            <w:tcBorders>
              <w:top w:val="single" w:color="A6A6A6" w:themeColor="background1" w:themeShade="A6" w:sz="6"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c>
          <w:tcPr>
            <w:tcW w:w="887"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c>
          <w:tcPr>
            <w:tcW w:w="890" w:type="dxa"/>
            <w:tcBorders>
              <w:top w:val="single" w:color="A6A6A6" w:themeColor="background1" w:themeShade="A6" w:sz="6"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0.0</w:t>
            </w:r>
          </w:p>
        </w:tc>
      </w:tr>
      <w:tr>
        <w:trPr>
          <w:trHeight w:val="340" w:hRule="atLeast"/>
        </w:trPr>
        <w:tc>
          <w:tcPr>
            <w:tcW w:w="2119" w:type="dxa"/>
            <w:vMerge w:val="continue"/>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105"/>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699" w:hRule="atLeast"/>
        </w:trPr>
        <w:tc>
          <w:tcPr>
            <w:tcW w:w="2119" w:type="dxa"/>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介護予防小規模多機能型居宅介護</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699" w:hRule="atLeast"/>
        </w:trPr>
        <w:tc>
          <w:tcPr>
            <w:tcW w:w="2119" w:type="dxa"/>
            <w:tcBorders>
              <w:top w:val="nil"/>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③</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介護予防認知症対応型共同生活介護</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699" w:hRule="atLeast"/>
        </w:trPr>
        <w:tc>
          <w:tcPr>
            <w:tcW w:w="2119" w:type="dxa"/>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④</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定期巡回・随時対応型訪問介護看護</w:t>
            </w: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699" w:hRule="atLeast"/>
        </w:trPr>
        <w:tc>
          <w:tcPr>
            <w:tcW w:w="2119"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⑤</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夜間対応型訪問介護</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85"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⑥</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地域密着型通所介護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153.8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134.8 </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140.8 </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136.0 </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136.0 </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129.0 </w:t>
            </w:r>
          </w:p>
        </w:tc>
      </w:tr>
      <w:tr>
        <w:trPr>
          <w:trHeight w:val="85"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19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16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19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18 </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18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17 </w:t>
            </w:r>
          </w:p>
        </w:tc>
      </w:tr>
      <w:tr>
        <w:trPr>
          <w:trHeight w:val="85" w:hRule="atLeast"/>
        </w:trPr>
        <w:tc>
          <w:tcPr>
            <w:tcW w:w="2119" w:type="dxa"/>
            <w:vMerge w:val="restart"/>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⑦</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認知症対応型通所介護</w:t>
            </w:r>
          </w:p>
        </w:tc>
        <w:tc>
          <w:tcPr>
            <w:tcW w:w="989"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回数</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c>
          <w:tcPr>
            <w:tcW w:w="888"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c>
          <w:tcPr>
            <w:tcW w:w="887" w:type="dxa"/>
            <w:tcBorders>
              <w:top w:val="single" w:color="A6A6A6" w:themeColor="background1" w:themeShade="A6" w:sz="4" w:space="0"/>
              <w:left w:val="single" w:color="A6A6A6" w:themeColor="background1" w:themeShade="A6" w:sz="6"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c>
          <w:tcPr>
            <w:tcW w:w="88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c>
          <w:tcPr>
            <w:tcW w:w="890"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0.0</w:t>
            </w:r>
          </w:p>
        </w:tc>
      </w:tr>
      <w:tr>
        <w:trPr>
          <w:trHeight w:val="403" w:hRule="atLeast"/>
        </w:trPr>
        <w:tc>
          <w:tcPr>
            <w:tcW w:w="2119" w:type="dxa"/>
            <w:vMerge w:val="continue"/>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游ゴシック" w:hAnsi="游ゴシック" w:eastAsia="游ゴシック"/>
                <w:b w:val="1"/>
                <w:kern w:val="0"/>
                <w:sz w:val="18"/>
              </w:rPr>
            </w:pP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pageBreakBefore w:val="1"/>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720" w:hRule="atLeast"/>
        </w:trPr>
        <w:tc>
          <w:tcPr>
            <w:tcW w:w="2119"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⑧</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小規模多機能型居宅介護</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 xml:space="preserve">0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 xml:space="preserve">0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0</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 xml:space="preserve">0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w w:val="90"/>
                <w:kern w:val="0"/>
                <w:sz w:val="20"/>
              </w:rPr>
            </w:pPr>
            <w:r>
              <w:rPr>
                <w:rFonts w:hint="default" w:ascii="メイリオ" w:hAnsi="メイリオ" w:eastAsia="メイリオ"/>
                <w:color w:val="000000" w:themeColor="text1"/>
                <w:sz w:val="20"/>
              </w:rPr>
              <w:t xml:space="preserve">0 </w:t>
            </w:r>
          </w:p>
        </w:tc>
      </w:tr>
      <w:tr>
        <w:trPr>
          <w:trHeight w:val="720" w:hRule="atLeast"/>
        </w:trPr>
        <w:tc>
          <w:tcPr>
            <w:tcW w:w="2119"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⑨</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認知症対応型共同生活介護</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18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17 </w:t>
            </w:r>
          </w:p>
        </w:tc>
        <w:tc>
          <w:tcPr>
            <w:tcW w:w="888"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15 </w:t>
            </w:r>
          </w:p>
        </w:tc>
        <w:tc>
          <w:tcPr>
            <w:tcW w:w="887"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17 </w:t>
            </w:r>
          </w:p>
        </w:tc>
        <w:tc>
          <w:tcPr>
            <w:tcW w:w="887"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17 </w:t>
            </w:r>
          </w:p>
        </w:tc>
        <w:tc>
          <w:tcPr>
            <w:tcW w:w="890"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17 </w:t>
            </w:r>
          </w:p>
        </w:tc>
      </w:tr>
      <w:tr>
        <w:trPr>
          <w:trHeight w:val="720" w:hRule="atLeast"/>
        </w:trPr>
        <w:tc>
          <w:tcPr>
            <w:tcW w:w="2119" w:type="dxa"/>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⑩</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地域密着型特定施設入居者生活介護</w:t>
            </w: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720" w:hRule="atLeast"/>
        </w:trPr>
        <w:tc>
          <w:tcPr>
            <w:tcW w:w="2119" w:type="dxa"/>
            <w:tcBorders>
              <w:top w:val="none" w:color="auto" w:sz="0"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⑪</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地域密着型介護老人福祉施設入所者生活介護</w:t>
            </w:r>
          </w:p>
        </w:tc>
        <w:tc>
          <w:tcPr>
            <w:tcW w:w="989"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r>
        <w:trPr>
          <w:trHeight w:val="720" w:hRule="atLeast"/>
        </w:trPr>
        <w:tc>
          <w:tcPr>
            <w:tcW w:w="2119" w:type="dxa"/>
            <w:tcBorders>
              <w:top w:val="none" w:color="auto" w:sz="0"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⑫</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看護小規模多機能型居宅介護</w:t>
            </w:r>
          </w:p>
        </w:tc>
        <w:tc>
          <w:tcPr>
            <w:tcW w:w="989"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widowControl w:val="1"/>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8"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87" w:type="dxa"/>
            <w:tcBorders>
              <w:top w:val="dotted"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0</w:t>
            </w:r>
          </w:p>
        </w:tc>
        <w:tc>
          <w:tcPr>
            <w:tcW w:w="88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c>
          <w:tcPr>
            <w:tcW w:w="890"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default" w:ascii="メイリオ" w:hAnsi="メイリオ" w:eastAsia="メイリオ"/>
                <w:color w:val="000000" w:themeColor="text1"/>
                <w:sz w:val="20"/>
              </w:rPr>
              <w:t xml:space="preserve">0 </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４　施設サービス</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（１）サービスの概要</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施設に入居する人に向けた介護サービスです。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119"/>
        <w:gridCol w:w="1388"/>
        <w:gridCol w:w="4849"/>
      </w:tblGrid>
      <w:tr>
        <w:trPr>
          <w:trHeight w:val="65"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35"/>
              <w:spacing w:line="240" w:lineRule="exact"/>
              <w:ind w:left="284" w:leftChars="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サービス</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対象者</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pacing w:before="33" w:beforeLines="10" w:beforeAutospacing="0" w:after="33" w:afterLines="10" w:afterAutospacing="0" w:line="280" w:lineRule="exact"/>
              <w:ind w:firstLine="180" w:firstLineChars="10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概要</w:t>
            </w:r>
          </w:p>
        </w:tc>
      </w:tr>
      <w:tr>
        <w:trPr>
          <w:trHeight w:val="1192"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ind w:left="169" w:leftChars="-1" w:hanging="171" w:hangingChars="95"/>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介護老人福祉施設</w:t>
            </w:r>
            <w:r>
              <w:rPr>
                <w:rFonts w:hint="default" w:ascii="メイリオ" w:hAnsi="メイリオ" w:eastAsia="メイリオ"/>
                <w:b w:val="1"/>
                <w:color w:val="000000" w:themeColor="text1"/>
                <w:kern w:val="0"/>
                <w:sz w:val="18"/>
              </w:rPr>
              <w:t xml:space="preserve"> </w:t>
            </w:r>
            <w:r>
              <w:rPr>
                <w:rFonts w:hint="default" w:ascii="メイリオ" w:hAnsi="メイリオ" w:eastAsia="メイリオ"/>
                <w:b w:val="1"/>
                <w:color w:val="000000" w:themeColor="text1"/>
                <w:kern w:val="0"/>
                <w:sz w:val="18"/>
              </w:rPr>
              <w:t>（特別養護老人ホーム）</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常時介護が必要で居宅での生活が困難な要介護者が入所し、日常生活上の支援や介護が受けられる施設です。</w:t>
            </w:r>
          </w:p>
        </w:tc>
      </w:tr>
      <w:tr>
        <w:trPr>
          <w:trHeight w:val="1192"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介護老人保健施設</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医療施設等での治療を終え状態が安定している要介護者が入所し、医師や看護師、介護福祉士等から在宅生活を送るための看護や介護、リハビリテーションが受けられる施設です。</w:t>
            </w:r>
          </w:p>
        </w:tc>
      </w:tr>
      <w:tr>
        <w:trPr>
          <w:trHeight w:val="1192"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③</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介護医療院</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要介護者に対し、「長期療養のための医療」と「日常生活上の世話（介護）」を一体的に提供する施設です。</w:t>
            </w:r>
          </w:p>
        </w:tc>
      </w:tr>
      <w:tr>
        <w:trPr>
          <w:trHeight w:val="1192"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④</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介護療養型医療施設</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緊急を要する治療を終え、長期の療養を必要とする要介護者が入所し、医師や看護師等から看護や介護、リハビリテーションが受けられる施設です。</w:t>
            </w:r>
          </w:p>
          <w:p>
            <w:pPr>
              <w:pStyle w:val="0"/>
              <w:widowControl w:val="1"/>
              <w:spacing w:before="33" w:beforeLines="10" w:beforeAutospacing="0" w:after="33" w:afterLines="10" w:afterAutospacing="0" w:line="28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5</w:t>
            </w:r>
            <w:r>
              <w:rPr>
                <w:rFonts w:hint="eastAsia" w:ascii="メイリオ" w:hAnsi="メイリオ" w:eastAsia="メイリオ"/>
                <w:color w:val="000000" w:themeColor="text1"/>
                <w:kern w:val="0"/>
                <w:sz w:val="18"/>
              </w:rPr>
              <w:t>年度でサービスの提供を終了しました）</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（２）サービスの実績と見込み</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施設サービスの利用を以下のとおり見込みます。</w:t>
      </w:r>
    </w:p>
    <w:p>
      <w:pPr>
        <w:pStyle w:val="0"/>
        <w:widowControl w:val="1"/>
        <w:snapToGrid w:val="0"/>
        <w:spacing w:line="120" w:lineRule="auto"/>
        <w:ind w:firstLine="240" w:firstLineChars="100"/>
        <w:jc w:val="left"/>
        <w:rPr>
          <w:rFonts w:hint="default" w:ascii="メイリオ" w:hAnsi="メイリオ" w:eastAsia="メイリオ"/>
          <w:color w:val="000000" w:themeColor="text1"/>
          <w:sz w:val="24"/>
        </w:rPr>
      </w:pPr>
    </w:p>
    <w:tbl>
      <w:tblPr>
        <w:tblStyle w:val="11"/>
        <w:tblW w:w="8417" w:type="dxa"/>
        <w:jc w:val="center"/>
        <w:tblInd w:w="0" w:type="dxa"/>
        <w:tblLayout w:type="fixed"/>
        <w:tblCellMar>
          <w:left w:w="99" w:type="dxa"/>
          <w:right w:w="99" w:type="dxa"/>
        </w:tblCellMar>
        <w:tblLook w:firstRow="1" w:lastRow="0" w:firstColumn="1" w:lastColumn="0" w:noHBand="0" w:noVBand="1" w:val="04A0"/>
      </w:tblPr>
      <w:tblGrid>
        <w:gridCol w:w="1998"/>
        <w:gridCol w:w="989"/>
        <w:gridCol w:w="905"/>
        <w:gridCol w:w="905"/>
        <w:gridCol w:w="905"/>
        <w:gridCol w:w="905"/>
        <w:gridCol w:w="905"/>
        <w:gridCol w:w="905"/>
      </w:tblGrid>
      <w:tr>
        <w:trPr>
          <w:trHeight w:val="340" w:hRule="atLeast"/>
          <w:tblHeader/>
        </w:trPr>
        <w:tc>
          <w:tcPr>
            <w:tcW w:w="1998" w:type="dxa"/>
            <w:vMerge w:val="restart"/>
            <w:tcBorders>
              <w:top w:val="single" w:color="A6A6A6" w:themeColor="background1" w:themeShade="A6" w:sz="6" w:space="0"/>
              <w:left w:val="single" w:color="A6A6A6" w:themeColor="background1" w:themeShade="A6" w:sz="6"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989" w:type="dxa"/>
            <w:vMerge w:val="restart"/>
            <w:tcBorders>
              <w:top w:val="single" w:color="A6A6A6" w:themeColor="background1" w:themeShade="A6" w:sz="6" w:space="0"/>
              <w:left w:val="single" w:color="A6A6A6" w:themeColor="background1" w:themeShade="A6" w:sz="4"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単位</w:t>
            </w:r>
          </w:p>
        </w:tc>
        <w:tc>
          <w:tcPr>
            <w:tcW w:w="2715" w:type="dxa"/>
            <w:gridSpan w:val="3"/>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第８期実績</w:t>
            </w:r>
          </w:p>
        </w:tc>
        <w:tc>
          <w:tcPr>
            <w:tcW w:w="2715" w:type="dxa"/>
            <w:gridSpan w:val="3"/>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第９期見込み</w:t>
            </w:r>
          </w:p>
        </w:tc>
      </w:tr>
      <w:tr>
        <w:trPr>
          <w:trHeight w:val="340" w:hRule="atLeast"/>
          <w:tblHeader/>
        </w:trPr>
        <w:tc>
          <w:tcPr>
            <w:tcW w:w="1998" w:type="dxa"/>
            <w:vMerge w:val="continue"/>
            <w:tcBorders>
              <w:top w:val="single" w:color="auto"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left"/>
              <w:rPr>
                <w:rFonts w:hint="default" w:ascii="游ゴシック" w:hAnsi="游ゴシック" w:eastAsia="游ゴシック"/>
                <w:color w:val="FFFFFF"/>
                <w:kern w:val="0"/>
                <w:sz w:val="18"/>
              </w:rPr>
            </w:pPr>
          </w:p>
        </w:tc>
        <w:tc>
          <w:tcPr>
            <w:tcW w:w="989" w:type="dxa"/>
            <w:vMerge w:val="continue"/>
            <w:tcBorders>
              <w:top w:val="single" w:color="auto"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left"/>
              <w:rPr>
                <w:rFonts w:hint="default" w:ascii="游ゴシック" w:hAnsi="游ゴシック" w:eastAsia="游ゴシック"/>
                <w:color w:val="FFFFFF"/>
                <w:kern w:val="0"/>
                <w:sz w:val="18"/>
              </w:rPr>
            </w:pP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令和３</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令和４</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令和５</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6</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7</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8</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r>
      <w:tr>
        <w:trPr>
          <w:trHeight w:val="735" w:hRule="atLeast"/>
        </w:trPr>
        <w:tc>
          <w:tcPr>
            <w:tcW w:w="1998" w:type="dxa"/>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介護老人福祉施設（特別養護老人ホーム）</w:t>
            </w:r>
          </w:p>
        </w:tc>
        <w:tc>
          <w:tcPr>
            <w:tcW w:w="989"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37</w:t>
            </w:r>
          </w:p>
        </w:tc>
        <w:tc>
          <w:tcPr>
            <w:tcW w:w="905"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34</w:t>
            </w:r>
          </w:p>
        </w:tc>
        <w:tc>
          <w:tcPr>
            <w:tcW w:w="905"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40</w:t>
            </w:r>
          </w:p>
        </w:tc>
        <w:tc>
          <w:tcPr>
            <w:tcW w:w="905" w:type="dxa"/>
            <w:tcBorders>
              <w:top w:val="single" w:color="A6A6A6" w:themeColor="background1" w:themeShade="A6" w:sz="6"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38</w:t>
            </w:r>
          </w:p>
        </w:tc>
        <w:tc>
          <w:tcPr>
            <w:tcW w:w="905"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38</w:t>
            </w:r>
          </w:p>
        </w:tc>
        <w:tc>
          <w:tcPr>
            <w:tcW w:w="905" w:type="dxa"/>
            <w:tcBorders>
              <w:top w:val="single" w:color="A6A6A6" w:themeColor="background1" w:themeShade="A6" w:sz="6"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38</w:t>
            </w:r>
          </w:p>
        </w:tc>
      </w:tr>
      <w:tr>
        <w:trPr>
          <w:trHeight w:val="730" w:hRule="atLeast"/>
        </w:trPr>
        <w:tc>
          <w:tcPr>
            <w:tcW w:w="1998"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介護老人保健施設</w:t>
            </w:r>
          </w:p>
        </w:tc>
        <w:tc>
          <w:tcPr>
            <w:tcW w:w="989"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w:t>
            </w:r>
          </w:p>
        </w:tc>
        <w:tc>
          <w:tcPr>
            <w:tcW w:w="905"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3</w:t>
            </w:r>
          </w:p>
        </w:tc>
        <w:tc>
          <w:tcPr>
            <w:tcW w:w="905"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w:t>
            </w:r>
          </w:p>
        </w:tc>
        <w:tc>
          <w:tcPr>
            <w:tcW w:w="905" w:type="dxa"/>
            <w:tcBorders>
              <w:top w:val="single" w:color="A6A6A6" w:themeColor="background1" w:themeShade="A6" w:sz="4" w:space="0"/>
              <w:left w:val="single" w:color="A6A6A6" w:themeColor="background1" w:themeShade="A6" w:sz="6"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w:t>
            </w:r>
          </w:p>
        </w:tc>
        <w:tc>
          <w:tcPr>
            <w:tcW w:w="905"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w:t>
            </w:r>
          </w:p>
        </w:tc>
        <w:tc>
          <w:tcPr>
            <w:tcW w:w="905" w:type="dxa"/>
            <w:tcBorders>
              <w:top w:val="single" w:color="A6A6A6" w:themeColor="background1" w:themeShade="A6" w:sz="4" w:space="0"/>
              <w:left w:val="single" w:color="A6A6A6" w:themeColor="background1" w:themeShade="A6" w:sz="4" w:space="0"/>
              <w:bottom w:val="none" w:color="auto" w:sz="0"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w:t>
            </w:r>
          </w:p>
        </w:tc>
      </w:tr>
      <w:tr>
        <w:trPr>
          <w:trHeight w:val="730" w:hRule="atLeast"/>
        </w:trPr>
        <w:tc>
          <w:tcPr>
            <w:tcW w:w="1998"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③</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介護医療院</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1</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1</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1</w:t>
            </w:r>
          </w:p>
        </w:tc>
      </w:tr>
      <w:tr>
        <w:trPr>
          <w:trHeight w:val="730" w:hRule="atLeast"/>
        </w:trPr>
        <w:tc>
          <w:tcPr>
            <w:tcW w:w="1998"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④</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介護療養型医療施設</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kern w:val="0"/>
                <w:sz w:val="20"/>
              </w:rPr>
              <w:t>0</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kern w:val="0"/>
                <w:sz w:val="20"/>
                <w:u w:val="none" w:color="auto"/>
              </w:rPr>
              <w:t>－</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kern w:val="0"/>
                <w:sz w:val="20"/>
                <w:u w:val="none" w:color="auto"/>
              </w:rPr>
              <w:t>－</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kern w:val="0"/>
                <w:sz w:val="20"/>
                <w:u w:val="none" w:color="auto"/>
              </w:rPr>
              <w:t>－</w:t>
            </w:r>
          </w:p>
        </w:tc>
      </w:tr>
    </w:tbl>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５　介護予防支援・居宅介護支援</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（１）サービスの概要</w:t>
      </w:r>
    </w:p>
    <w:p>
      <w:pPr>
        <w:pStyle w:val="0"/>
        <w:widowControl w:val="1"/>
        <w:ind w:left="240" w:hanging="240" w:hanging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在宅介護サービスを利用する人の状況を確認し、ケアマネジメントおよびケアプランの作成を行うサービスです。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119"/>
        <w:gridCol w:w="1388"/>
        <w:gridCol w:w="4849"/>
      </w:tblGrid>
      <w:tr>
        <w:trPr>
          <w:trHeight w:val="65"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35"/>
              <w:spacing w:line="240" w:lineRule="exact"/>
              <w:ind w:left="284" w:leftChars="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サービス</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対象者</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pacing w:before="33" w:beforeLines="10" w:beforeAutospacing="0" w:after="33" w:afterLines="10" w:afterAutospacing="0" w:line="280" w:lineRule="exact"/>
              <w:ind w:firstLine="180" w:firstLineChars="10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概要</w:t>
            </w:r>
          </w:p>
        </w:tc>
      </w:tr>
      <w:tr>
        <w:trPr>
          <w:trHeight w:val="65"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ind w:left="169" w:leftChars="-1" w:hanging="171" w:hangingChars="95"/>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介護予防支援</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要支援１、２</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在宅の要支援者が介護予防サービス等を適切に利用できるよう、地域包括支援センターが要支援者の依頼を受けて利用計画（ケアプラン）を作成し、サービス等の提供が十分に行われるよう事業者との連絡調整等を行うサービスです。</w:t>
            </w:r>
          </w:p>
        </w:tc>
      </w:tr>
      <w:tr>
        <w:trPr>
          <w:trHeight w:val="65" w:hRule="atLeast"/>
        </w:trPr>
        <w:tc>
          <w:tcPr>
            <w:tcW w:w="211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居宅介護支援</w:t>
            </w:r>
          </w:p>
        </w:tc>
        <w:tc>
          <w:tcPr>
            <w:tcW w:w="1388"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35"/>
              <w:ind w:left="0" w:leftChars="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要介護１～５</w:t>
            </w:r>
          </w:p>
        </w:tc>
        <w:tc>
          <w:tcPr>
            <w:tcW w:w="4849"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vAlign w:val="center"/>
          </w:tcPr>
          <w:p>
            <w:pPr>
              <w:pStyle w:val="0"/>
              <w:widowControl w:val="1"/>
              <w:spacing w:before="33" w:beforeLines="10" w:beforeAutospacing="0" w:after="33" w:afterLines="10" w:afterAutospacing="0" w:line="280" w:lineRule="exact"/>
              <w:ind w:firstLine="180" w:firstLineChars="100"/>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在宅の要介護者が介護サービス等を適切に利用できるよう、居宅介護支援事業所が、要介護者の依頼を受けて利用計画（ケアプラン）を作成するとともに、サービス等の提供が十分に行われるよう事業者との連絡調整等を行うサービスです。</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（２）サービスの実績と見込み</w:t>
      </w:r>
    </w:p>
    <w:p>
      <w:pPr>
        <w:pStyle w:val="0"/>
        <w:widowControl w:val="1"/>
        <w:ind w:firstLine="480" w:firstLineChars="2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介護予防支援、居宅介護支援の利用を以下のとおり見込みます。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539" w:type="dxa"/>
        <w:jc w:val="center"/>
        <w:tblInd w:w="0" w:type="dxa"/>
        <w:tblLayout w:type="fixed"/>
        <w:tblCellMar>
          <w:left w:w="99" w:type="dxa"/>
          <w:right w:w="99" w:type="dxa"/>
        </w:tblCellMar>
        <w:tblLook w:firstRow="1" w:lastRow="0" w:firstColumn="1" w:lastColumn="0" w:noHBand="0" w:noVBand="1" w:val="04A0"/>
      </w:tblPr>
      <w:tblGrid>
        <w:gridCol w:w="2120"/>
        <w:gridCol w:w="989"/>
        <w:gridCol w:w="905"/>
        <w:gridCol w:w="905"/>
        <w:gridCol w:w="905"/>
        <w:gridCol w:w="905"/>
        <w:gridCol w:w="905"/>
        <w:gridCol w:w="905"/>
      </w:tblGrid>
      <w:tr>
        <w:trPr>
          <w:trHeight w:val="340" w:hRule="atLeast"/>
          <w:tblHeader/>
        </w:trPr>
        <w:tc>
          <w:tcPr>
            <w:tcW w:w="2120" w:type="dxa"/>
            <w:vMerge w:val="restart"/>
            <w:tcBorders>
              <w:top w:val="single" w:color="A6A6A6" w:themeColor="background1" w:themeShade="A6" w:sz="6" w:space="0"/>
              <w:left w:val="single" w:color="A6A6A6" w:themeColor="background1" w:themeShade="A6" w:sz="6"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989" w:type="dxa"/>
            <w:vMerge w:val="restart"/>
            <w:tcBorders>
              <w:top w:val="single" w:color="A6A6A6" w:themeColor="background1" w:themeShade="A6" w:sz="6" w:space="0"/>
              <w:left w:val="single" w:color="A6A6A6" w:themeColor="background1" w:themeShade="A6" w:sz="4" w:space="0"/>
              <w:bottom w:val="single" w:color="auto"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単位</w:t>
            </w:r>
          </w:p>
        </w:tc>
        <w:tc>
          <w:tcPr>
            <w:tcW w:w="2715" w:type="dxa"/>
            <w:gridSpan w:val="3"/>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第８期実績</w:t>
            </w:r>
          </w:p>
        </w:tc>
        <w:tc>
          <w:tcPr>
            <w:tcW w:w="2715" w:type="dxa"/>
            <w:gridSpan w:val="3"/>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第９期見込み</w:t>
            </w:r>
          </w:p>
        </w:tc>
      </w:tr>
      <w:tr>
        <w:trPr>
          <w:trHeight w:val="340" w:hRule="atLeast"/>
          <w:tblHeader/>
        </w:trPr>
        <w:tc>
          <w:tcPr>
            <w:tcW w:w="2120" w:type="dxa"/>
            <w:vMerge w:val="continue"/>
            <w:tcBorders>
              <w:top w:val="single" w:color="auto"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left"/>
              <w:rPr>
                <w:rFonts w:hint="default" w:ascii="游ゴシック" w:hAnsi="游ゴシック" w:eastAsia="游ゴシック"/>
                <w:color w:val="FFFFFF"/>
                <w:kern w:val="0"/>
                <w:sz w:val="18"/>
              </w:rPr>
            </w:pPr>
          </w:p>
        </w:tc>
        <w:tc>
          <w:tcPr>
            <w:tcW w:w="989" w:type="dxa"/>
            <w:vMerge w:val="continue"/>
            <w:tcBorders>
              <w:top w:val="single" w:color="auto"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left"/>
              <w:rPr>
                <w:rFonts w:hint="default" w:ascii="游ゴシック" w:hAnsi="游ゴシック" w:eastAsia="游ゴシック"/>
                <w:color w:val="FFFFFF"/>
                <w:kern w:val="0"/>
                <w:sz w:val="18"/>
              </w:rPr>
            </w:pP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令和３</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令和４</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令和５</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6</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7</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widowControl w:val="1"/>
              <w:snapToGrid w:val="0"/>
              <w:spacing w:line="24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w:t>
            </w:r>
            <w:r>
              <w:rPr>
                <w:rFonts w:hint="eastAsia" w:ascii="メイリオ" w:hAnsi="メイリオ" w:eastAsia="メイリオ"/>
                <w:color w:val="000000" w:themeColor="text1"/>
                <w:kern w:val="0"/>
                <w:sz w:val="18"/>
              </w:rPr>
              <w:t>8</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年度</w:t>
            </w:r>
          </w:p>
        </w:tc>
      </w:tr>
      <w:tr>
        <w:trPr>
          <w:trHeight w:val="730" w:hRule="atLeast"/>
        </w:trPr>
        <w:tc>
          <w:tcPr>
            <w:tcW w:w="2120" w:type="dxa"/>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①</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介護予防支援</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13</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17</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19</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20</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19</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19</w:t>
            </w:r>
          </w:p>
        </w:tc>
      </w:tr>
      <w:tr>
        <w:trPr>
          <w:trHeight w:val="730" w:hRule="atLeast"/>
        </w:trPr>
        <w:tc>
          <w:tcPr>
            <w:tcW w:w="2120"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tabs>
                <w:tab w:val="left" w:leader="none" w:pos="1010"/>
              </w:tabs>
              <w:spacing w:line="240" w:lineRule="exact"/>
              <w:ind w:left="270" w:hanging="270" w:hangingChars="15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②</w:t>
            </w:r>
            <w:r>
              <w:rPr>
                <w:rFonts w:hint="eastAsia" w:ascii="メイリオ" w:hAnsi="メイリオ" w:eastAsia="メイリオ"/>
                <w:b w:val="1"/>
                <w:color w:val="000000" w:themeColor="text1"/>
                <w:kern w:val="0"/>
                <w:sz w:val="18"/>
              </w:rPr>
              <w:t xml:space="preserve"> </w:t>
            </w:r>
            <w:r>
              <w:rPr>
                <w:rFonts w:hint="eastAsia" w:ascii="メイリオ" w:hAnsi="メイリオ" w:eastAsia="メイリオ"/>
                <w:b w:val="1"/>
                <w:color w:val="000000" w:themeColor="text1"/>
                <w:kern w:val="0"/>
                <w:sz w:val="18"/>
              </w:rPr>
              <w:t>居宅介護支援</w:t>
            </w:r>
          </w:p>
        </w:tc>
        <w:tc>
          <w:tcPr>
            <w:tcW w:w="9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2"/>
            <w:vAlign w:val="center"/>
          </w:tcPr>
          <w:p>
            <w:pPr>
              <w:pStyle w:val="0"/>
              <w:spacing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利用者数</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44</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45</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46</w:t>
            </w:r>
          </w:p>
        </w:tc>
        <w:tc>
          <w:tcPr>
            <w:tcW w:w="905"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42</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41</w:t>
            </w:r>
          </w:p>
        </w:tc>
        <w:tc>
          <w:tcPr>
            <w:tcW w:w="90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vAlign w:val="center"/>
          </w:tcPr>
          <w:p>
            <w:pPr>
              <w:pStyle w:val="0"/>
              <w:widowControl w:val="1"/>
              <w:jc w:val="right"/>
              <w:rPr>
                <w:rFonts w:hint="default" w:ascii="メイリオ" w:hAnsi="メイリオ" w:eastAsia="メイリオ"/>
                <w:color w:val="000000" w:themeColor="text1"/>
                <w:kern w:val="0"/>
                <w:sz w:val="20"/>
              </w:rPr>
            </w:pPr>
            <w:r>
              <w:rPr>
                <w:rFonts w:hint="eastAsia" w:ascii="メイリオ" w:hAnsi="メイリオ" w:eastAsia="メイリオ"/>
                <w:color w:val="000000" w:themeColor="text1"/>
                <w:sz w:val="20"/>
              </w:rPr>
              <w:t>41</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37" w:name="_Toc154129943"/>
      <w:r>
        <w:rPr>
          <w:rFonts w:hint="eastAsia"/>
          <w:color w:val="000000" w:themeColor="text1"/>
        </w:rPr>
        <w:t>第３節　介護保険事業費の見込み</w:t>
      </w:r>
      <w:bookmarkEnd w:id="37"/>
      <w:r>
        <w:rPr>
          <w:rFonts w:hint="default"/>
          <w:color w:val="000000" w:themeColor="text1"/>
        </w:rPr>
        <w:tab/>
      </w:r>
    </w:p>
    <w:p>
      <w:pPr>
        <w:pStyle w:val="40"/>
        <w:rPr>
          <w:rFonts w:hint="default"/>
          <w:color w:val="000000" w:themeColor="text1"/>
        </w:rPr>
      </w:pPr>
      <w:r>
        <w:rPr>
          <w:rFonts w:hint="eastAsia"/>
          <w:color w:val="000000" w:themeColor="text1"/>
        </w:rPr>
        <w:t>１　介護サービス給付費（見込額）</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介護サービス給付費は以下のように見込みます。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343"/>
        <w:gridCol w:w="3647"/>
        <w:gridCol w:w="1463"/>
        <w:gridCol w:w="1464"/>
        <w:gridCol w:w="1525"/>
      </w:tblGrid>
      <w:tr>
        <w:trPr>
          <w:trHeight w:val="340" w:hRule="atLeast"/>
        </w:trPr>
        <w:tc>
          <w:tcPr>
            <w:tcW w:w="3990" w:type="dxa"/>
            <w:gridSpan w:val="2"/>
            <w:tcBorders>
              <w:top w:val="single" w:color="A6A6A6" w:themeColor="background1" w:themeShade="A6" w:sz="4"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1463"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令和６年度</w:t>
            </w:r>
          </w:p>
        </w:tc>
        <w:tc>
          <w:tcPr>
            <w:tcW w:w="1464"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令和７年度</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令和８年度</w:t>
            </w:r>
          </w:p>
        </w:tc>
      </w:tr>
      <w:tr>
        <w:trPr>
          <w:trHeight w:val="360" w:hRule="atLeast"/>
        </w:trPr>
        <w:tc>
          <w:tcPr>
            <w:tcW w:w="3990" w:type="dxa"/>
            <w:gridSpan w:val="2"/>
            <w:tcBorders>
              <w:top w:val="single" w:color="A6A6A6" w:themeColor="background1" w:themeShade="A6" w:sz="6"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left"/>
              <w:rPr>
                <w:rFonts w:hint="default" w:ascii="メイリオ" w:hAnsi="メイリオ" w:eastAsia="メイリオ"/>
                <w:color w:val="000000" w:themeColor="text1"/>
                <w:kern w:val="0"/>
                <w:sz w:val="18"/>
              </w:rPr>
            </w:pPr>
            <w:r>
              <w:rPr>
                <w:rFonts w:hint="eastAsia" w:ascii="メイリオ" w:hAnsi="メイリオ" w:eastAsia="メイリオ"/>
                <w:b w:val="1"/>
                <w:color w:val="000000" w:themeColor="text1"/>
                <w:kern w:val="0"/>
                <w:sz w:val="18"/>
              </w:rPr>
              <w:t>１．居宅サービス</w:t>
            </w:r>
          </w:p>
        </w:tc>
        <w:tc>
          <w:tcPr>
            <w:tcW w:w="1463"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64,549</w:t>
            </w:r>
          </w:p>
        </w:tc>
        <w:tc>
          <w:tcPr>
            <w:tcW w:w="1464"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54,501</w:t>
            </w:r>
          </w:p>
        </w:tc>
        <w:tc>
          <w:tcPr>
            <w:tcW w:w="1525"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54,954</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訪問介護</w:t>
            </w:r>
          </w:p>
        </w:tc>
        <w:tc>
          <w:tcPr>
            <w:tcW w:w="1463"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21,322 </w:t>
            </w:r>
          </w:p>
        </w:tc>
        <w:tc>
          <w:tcPr>
            <w:tcW w:w="1464"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18,853 </w:t>
            </w:r>
          </w:p>
        </w:tc>
        <w:tc>
          <w:tcPr>
            <w:tcW w:w="1525"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18,853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訪問入浴介護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1,301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1,303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1,303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訪問看護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222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222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222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訪問リハビリテーション</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631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631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631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居宅療養管理指導</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1,389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1,391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1,391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通所介護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1,613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1,615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1,615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通所リハビリテーション</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333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333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333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短期入所生活介護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9,315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6,927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6,927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短期入所療養介護（老健）</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948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949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1,297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短期入所療養介護（病院等）</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短期入所療養介護（介護医療院）</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福祉用具貸与</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4,402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4,026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4,131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特定福祉用具購入費</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r>
      <w:tr>
        <w:trPr>
          <w:trHeight w:val="337"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住宅改修費</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900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900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900 </w:t>
            </w:r>
          </w:p>
        </w:tc>
      </w:tr>
      <w:tr>
        <w:trPr>
          <w:trHeight w:val="337" w:hRule="atLeast"/>
        </w:trPr>
        <w:tc>
          <w:tcPr>
            <w:tcW w:w="343"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napToGrid w:val="0"/>
              <w:spacing w:line="216" w:lineRule="auto"/>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特定施設入居者生活介護</w:t>
            </w:r>
          </w:p>
        </w:tc>
        <w:tc>
          <w:tcPr>
            <w:tcW w:w="1463"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21,723 </w:t>
            </w:r>
          </w:p>
        </w:tc>
        <w:tc>
          <w:tcPr>
            <w:tcW w:w="1464"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16,901 </w:t>
            </w:r>
          </w:p>
        </w:tc>
        <w:tc>
          <w:tcPr>
            <w:tcW w:w="1525"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napToGrid w:val="0"/>
              <w:spacing w:line="216" w:lineRule="auto"/>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16,901 </w:t>
            </w:r>
          </w:p>
        </w:tc>
      </w:tr>
      <w:tr>
        <w:trPr>
          <w:trHeight w:val="70" w:hRule="atLeast"/>
        </w:trPr>
        <w:tc>
          <w:tcPr>
            <w:tcW w:w="3990" w:type="dxa"/>
            <w:gridSpan w:val="2"/>
            <w:tcBorders>
              <w:top w:val="single" w:color="A6A6A6" w:themeColor="background1" w:themeShade="A6" w:sz="4" w:space="0"/>
              <w:left w:val="single" w:color="A6A6A6" w:themeColor="background1" w:themeShade="A6" w:sz="6"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２．地域密着型サービス</w:t>
            </w:r>
          </w:p>
        </w:tc>
        <w:tc>
          <w:tcPr>
            <w:tcW w:w="1463"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65,709</w:t>
            </w:r>
          </w:p>
        </w:tc>
        <w:tc>
          <w:tcPr>
            <w:tcW w:w="1464"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65,792</w:t>
            </w:r>
          </w:p>
        </w:tc>
        <w:tc>
          <w:tcPr>
            <w:tcW w:w="1525"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65,088</w:t>
            </w:r>
          </w:p>
        </w:tc>
      </w:tr>
      <w:tr>
        <w:trPr>
          <w:trHeight w:val="280" w:hRule="atLeast"/>
        </w:trPr>
        <w:tc>
          <w:tcPr>
            <w:tcW w:w="343" w:type="dxa"/>
            <w:tcBorders>
              <w:top w:val="doub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定期巡回・随時対応型訪問介護看護</w:t>
            </w:r>
          </w:p>
        </w:tc>
        <w:tc>
          <w:tcPr>
            <w:tcW w:w="1463"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1,492 </w:t>
            </w:r>
          </w:p>
        </w:tc>
        <w:tc>
          <w:tcPr>
            <w:tcW w:w="1464"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1,494 </w:t>
            </w:r>
          </w:p>
        </w:tc>
        <w:tc>
          <w:tcPr>
            <w:tcW w:w="1525"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1,494 </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夜間対応型訪問介護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地域密着型通所介護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12,362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12,378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11,674 </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認知症対応型通所介護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小規模多機能型居宅介護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認知症対応型共同生活介護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51,855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51,920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51,920 </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地域密着型特定施設入居者生活介護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280"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w w:val="90"/>
                <w:kern w:val="0"/>
                <w:sz w:val="18"/>
              </w:rPr>
            </w:pPr>
            <w:r>
              <w:rPr>
                <w:rFonts w:hint="eastAsia" w:ascii="メイリオ" w:hAnsi="メイリオ" w:eastAsia="メイリオ"/>
                <w:color w:val="000000" w:themeColor="text1"/>
                <w:w w:val="90"/>
                <w:kern w:val="0"/>
                <w:sz w:val="18"/>
              </w:rPr>
              <w:t>地域密着型介護老人福祉施設入所者生活介護</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280" w:hRule="atLeast"/>
        </w:trPr>
        <w:tc>
          <w:tcPr>
            <w:tcW w:w="343"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看護小規模多機能型居宅介護</w:t>
            </w:r>
          </w:p>
        </w:tc>
        <w:tc>
          <w:tcPr>
            <w:tcW w:w="1463"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70" w:hRule="atLeast"/>
        </w:trPr>
        <w:tc>
          <w:tcPr>
            <w:tcW w:w="3990" w:type="dxa"/>
            <w:gridSpan w:val="2"/>
            <w:tcBorders>
              <w:top w:val="single" w:color="A6A6A6" w:themeColor="background1" w:themeShade="A6" w:sz="4" w:space="0"/>
              <w:left w:val="single" w:color="A6A6A6" w:themeColor="background1" w:themeShade="A6" w:sz="6"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メイリオ" w:hAnsi="メイリオ" w:eastAsia="メイリオ"/>
                <w:color w:val="000000" w:themeColor="text1"/>
                <w:kern w:val="0"/>
                <w:sz w:val="18"/>
              </w:rPr>
            </w:pPr>
            <w:r>
              <w:rPr>
                <w:rFonts w:hint="eastAsia" w:ascii="メイリオ" w:hAnsi="メイリオ" w:eastAsia="メイリオ"/>
                <w:b w:val="1"/>
                <w:color w:val="000000" w:themeColor="text1"/>
                <w:kern w:val="0"/>
                <w:sz w:val="18"/>
              </w:rPr>
              <w:t>３．介護保険施設サービス</w:t>
            </w:r>
          </w:p>
        </w:tc>
        <w:tc>
          <w:tcPr>
            <w:tcW w:w="1463"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134,691</w:t>
            </w:r>
          </w:p>
        </w:tc>
        <w:tc>
          <w:tcPr>
            <w:tcW w:w="1464"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134,861</w:t>
            </w:r>
          </w:p>
        </w:tc>
        <w:tc>
          <w:tcPr>
            <w:tcW w:w="1525"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134,861</w:t>
            </w:r>
          </w:p>
        </w:tc>
      </w:tr>
      <w:tr>
        <w:trPr>
          <w:trHeight w:val="312" w:hRule="atLeast"/>
        </w:trPr>
        <w:tc>
          <w:tcPr>
            <w:tcW w:w="343" w:type="dxa"/>
            <w:tcBorders>
              <w:top w:val="doub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介護老人福祉施設</w:t>
            </w:r>
          </w:p>
        </w:tc>
        <w:tc>
          <w:tcPr>
            <w:tcW w:w="1463"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126,399 </w:t>
            </w:r>
          </w:p>
        </w:tc>
        <w:tc>
          <w:tcPr>
            <w:tcW w:w="1464"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126,559 </w:t>
            </w:r>
          </w:p>
        </w:tc>
        <w:tc>
          <w:tcPr>
            <w:tcW w:w="1525" w:type="dxa"/>
            <w:tcBorders>
              <w:top w:val="doub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126,559 </w:t>
            </w:r>
          </w:p>
        </w:tc>
      </w:tr>
      <w:tr>
        <w:trPr>
          <w:trHeight w:val="312"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介護老人保健施設</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3,892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3,897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3,897 </w:t>
            </w:r>
          </w:p>
        </w:tc>
      </w:tr>
      <w:tr>
        <w:trPr>
          <w:trHeight w:val="312" w:hRule="atLeast"/>
        </w:trPr>
        <w:tc>
          <w:tcPr>
            <w:tcW w:w="343"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介護医療院</w:t>
            </w:r>
          </w:p>
        </w:tc>
        <w:tc>
          <w:tcPr>
            <w:tcW w:w="1463"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4,400 </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4,405 </w:t>
            </w:r>
          </w:p>
        </w:tc>
        <w:tc>
          <w:tcPr>
            <w:tcW w:w="152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4,405 </w:t>
            </w:r>
          </w:p>
        </w:tc>
      </w:tr>
      <w:tr>
        <w:trPr>
          <w:trHeight w:val="312" w:hRule="atLeast"/>
        </w:trPr>
        <w:tc>
          <w:tcPr>
            <w:tcW w:w="343"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介護療養型医療施設</w:t>
            </w:r>
          </w:p>
        </w:tc>
        <w:tc>
          <w:tcPr>
            <w:tcW w:w="1463"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4"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5"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70" w:hRule="atLeast"/>
        </w:trPr>
        <w:tc>
          <w:tcPr>
            <w:tcW w:w="3990" w:type="dxa"/>
            <w:gridSpan w:val="2"/>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メイリオ" w:hAnsi="メイリオ" w:eastAsia="メイリオ"/>
                <w:color w:val="000000" w:themeColor="text1"/>
                <w:kern w:val="0"/>
                <w:sz w:val="18"/>
              </w:rPr>
            </w:pPr>
            <w:r>
              <w:rPr>
                <w:rFonts w:hint="eastAsia" w:ascii="メイリオ" w:hAnsi="メイリオ" w:eastAsia="メイリオ"/>
                <w:b w:val="1"/>
                <w:color w:val="000000" w:themeColor="text1"/>
                <w:kern w:val="0"/>
                <w:sz w:val="18"/>
              </w:rPr>
              <w:t>４．居宅介護支援</w:t>
            </w:r>
          </w:p>
        </w:tc>
        <w:tc>
          <w:tcPr>
            <w:tcW w:w="146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7,294 </w:t>
            </w:r>
          </w:p>
        </w:tc>
        <w:tc>
          <w:tcPr>
            <w:tcW w:w="146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7,140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7,140 </w:t>
            </w:r>
          </w:p>
        </w:tc>
      </w:tr>
      <w:tr>
        <w:trPr>
          <w:trHeight w:val="70" w:hRule="atLeast"/>
        </w:trPr>
        <w:tc>
          <w:tcPr>
            <w:tcW w:w="3990" w:type="dxa"/>
            <w:gridSpan w:val="2"/>
            <w:tcBorders>
              <w:top w:val="single" w:color="A6A6A6" w:themeColor="background1" w:themeShade="A6" w:sz="4" w:space="0"/>
              <w:left w:val="single" w:color="A6A6A6" w:themeColor="background1" w:themeShade="A6" w:sz="6"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b w:val="1"/>
                <w:color w:val="000000" w:themeColor="text1"/>
                <w:kern w:val="0"/>
                <w:sz w:val="18"/>
                <w:u w:val="none" w:color="auto"/>
              </w:rPr>
            </w:pPr>
            <w:r>
              <w:rPr>
                <w:rFonts w:hint="eastAsia" w:ascii="メイリオ" w:hAnsi="メイリオ" w:eastAsia="メイリオ"/>
                <w:b w:val="1"/>
                <w:color w:val="000000" w:themeColor="text1"/>
                <w:kern w:val="0"/>
                <w:sz w:val="18"/>
                <w:u w:val="none" w:color="auto"/>
              </w:rPr>
              <w:t>介護サービスの総給付費</w:t>
            </w:r>
          </w:p>
        </w:tc>
        <w:tc>
          <w:tcPr>
            <w:tcW w:w="1463"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272,243</w:t>
            </w:r>
          </w:p>
        </w:tc>
        <w:tc>
          <w:tcPr>
            <w:tcW w:w="1464"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262,294</w:t>
            </w:r>
          </w:p>
        </w:tc>
        <w:tc>
          <w:tcPr>
            <w:tcW w:w="1525"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default" w:ascii="メイリオ" w:hAnsi="メイリオ" w:eastAsia="メイリオ"/>
                <w:b w:val="0"/>
                <w:color w:val="000000" w:themeColor="text1"/>
                <w:sz w:val="18"/>
                <w:u w:val="none" w:color="auto"/>
              </w:rPr>
              <w:t>262,043</w:t>
            </w:r>
          </w:p>
        </w:tc>
      </w:tr>
    </w:tbl>
    <w:p>
      <w:pPr>
        <w:pStyle w:val="0"/>
        <w:spacing w:line="300" w:lineRule="auto"/>
        <w:rPr>
          <w:rStyle w:val="41"/>
          <w:rFonts w:hint="default"/>
          <w:color w:val="000000" w:themeColor="text1"/>
        </w:rPr>
      </w:pPr>
      <w:r>
        <w:rPr>
          <w:rStyle w:val="41"/>
          <w:rFonts w:hint="eastAsia"/>
          <w:color w:val="000000" w:themeColor="text1"/>
        </w:rPr>
        <w:t>２　介護予防サービス給付費（見込額）</w:t>
      </w:r>
      <w:r>
        <w:rPr>
          <w:rStyle w:val="41"/>
          <w:rFonts w:hint="eastAsia"/>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介護予防サービㇲ給付費は以下のように見込みます。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341"/>
        <w:gridCol w:w="3647"/>
        <w:gridCol w:w="1464"/>
        <w:gridCol w:w="1465"/>
        <w:gridCol w:w="1527"/>
      </w:tblGrid>
      <w:tr>
        <w:trPr>
          <w:trHeight w:val="340" w:hRule="atLeast"/>
        </w:trPr>
        <w:tc>
          <w:tcPr>
            <w:tcW w:w="398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サービス</w:t>
            </w:r>
          </w:p>
        </w:tc>
        <w:tc>
          <w:tcPr>
            <w:tcW w:w="146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令和６年度</w:t>
            </w:r>
          </w:p>
        </w:tc>
        <w:tc>
          <w:tcPr>
            <w:tcW w:w="14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令和７年度</w:t>
            </w:r>
          </w:p>
        </w:tc>
        <w:tc>
          <w:tcPr>
            <w:tcW w:w="152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令和８年度</w:t>
            </w:r>
          </w:p>
        </w:tc>
      </w:tr>
      <w:tr>
        <w:trPr>
          <w:trHeight w:val="360" w:hRule="atLeast"/>
        </w:trPr>
        <w:tc>
          <w:tcPr>
            <w:tcW w:w="3988"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left"/>
              <w:rPr>
                <w:rFonts w:hint="default" w:ascii="メイリオ" w:hAnsi="メイリオ" w:eastAsia="メイリオ"/>
                <w:color w:val="000000" w:themeColor="text1"/>
                <w:kern w:val="0"/>
                <w:sz w:val="18"/>
              </w:rPr>
            </w:pPr>
            <w:r>
              <w:rPr>
                <w:rFonts w:hint="eastAsia" w:ascii="メイリオ" w:hAnsi="メイリオ" w:eastAsia="メイリオ"/>
                <w:b w:val="1"/>
                <w:color w:val="000000" w:themeColor="text1"/>
                <w:kern w:val="0"/>
                <w:sz w:val="18"/>
              </w:rPr>
              <w:t>１．介護予防サービス</w:t>
            </w:r>
          </w:p>
        </w:tc>
        <w:tc>
          <w:tcPr>
            <w:tcW w:w="146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2,626</w:t>
            </w:r>
          </w:p>
        </w:tc>
        <w:tc>
          <w:tcPr>
            <w:tcW w:w="14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2,547</w:t>
            </w:r>
          </w:p>
        </w:tc>
        <w:tc>
          <w:tcPr>
            <w:tcW w:w="152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2,547</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介護予防訪問入浴介護</w:t>
            </w:r>
          </w:p>
        </w:tc>
        <w:tc>
          <w:tcPr>
            <w:tcW w:w="1464"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介護予防訪問看護</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介護予防訪問リハビリテーション</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介護予防居宅療養管理指導</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133 </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133 </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133 </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介護予防通所リハビリテーション</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介護予防短期入所生活介護</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介護予防短期入所療養介護（老健）</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介護予防短期入所療養介護（病院等）</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介護予防短期入所療養介護（介護医療院）</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介護予防福祉用具貸与</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1,505 </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1,424 </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1,424 </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特定介護予防福祉用具購入費</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450 </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介護予防住宅改修</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540 </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540 </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540 </w:t>
            </w:r>
          </w:p>
        </w:tc>
      </w:tr>
      <w:tr>
        <w:trPr>
          <w:trHeight w:val="375" w:hRule="atLeast"/>
        </w:trPr>
        <w:tc>
          <w:tcPr>
            <w:tcW w:w="341" w:type="dxa"/>
            <w:tcBorders>
              <w:top w:val="nil"/>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介護予防特定施設入居者生活介護</w:t>
            </w:r>
          </w:p>
        </w:tc>
        <w:tc>
          <w:tcPr>
            <w:tcW w:w="1464"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c>
          <w:tcPr>
            <w:tcW w:w="1465"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c>
          <w:tcPr>
            <w:tcW w:w="152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top"/>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0 </w:t>
            </w:r>
          </w:p>
        </w:tc>
      </w:tr>
      <w:tr>
        <w:trPr>
          <w:trHeight w:val="375" w:hRule="atLeast"/>
        </w:trPr>
        <w:tc>
          <w:tcPr>
            <w:tcW w:w="3988"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left"/>
              <w:rPr>
                <w:rFonts w:hint="default" w:ascii="メイリオ" w:hAnsi="メイリオ" w:eastAsia="メイリオ"/>
                <w:b w:val="1"/>
                <w:color w:val="000000" w:themeColor="text1"/>
                <w:kern w:val="0"/>
                <w:sz w:val="18"/>
              </w:rPr>
            </w:pPr>
            <w:r>
              <w:rPr>
                <w:rFonts w:hint="eastAsia" w:ascii="メイリオ" w:hAnsi="メイリオ" w:eastAsia="メイリオ"/>
                <w:b w:val="1"/>
                <w:color w:val="000000" w:themeColor="text1"/>
                <w:kern w:val="0"/>
                <w:sz w:val="18"/>
              </w:rPr>
              <w:t>２．地域密着型介護予防サービス</w:t>
            </w:r>
          </w:p>
        </w:tc>
        <w:tc>
          <w:tcPr>
            <w:tcW w:w="146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介護予防認知症対応型通所介護</w:t>
            </w:r>
          </w:p>
        </w:tc>
        <w:tc>
          <w:tcPr>
            <w:tcW w:w="1464"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single"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介護予防小規模多機能型居宅介護</w:t>
            </w:r>
          </w:p>
        </w:tc>
        <w:tc>
          <w:tcPr>
            <w:tcW w:w="1464"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dotted"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41" w:type="dxa"/>
            <w:tcBorders>
              <w:top w:val="nil"/>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p>
        </w:tc>
        <w:tc>
          <w:tcPr>
            <w:tcW w:w="364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介護予防認知症対応型共同生活介護</w:t>
            </w:r>
          </w:p>
        </w:tc>
        <w:tc>
          <w:tcPr>
            <w:tcW w:w="1464"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465"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c>
          <w:tcPr>
            <w:tcW w:w="1527" w:type="dxa"/>
            <w:tcBorders>
              <w:top w:val="dotted"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widowControl w:val="1"/>
              <w:spacing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kern w:val="0"/>
                <w:sz w:val="18"/>
                <w:u w:val="none" w:color="auto"/>
              </w:rPr>
              <w:t>0</w:t>
            </w:r>
          </w:p>
        </w:tc>
      </w:tr>
      <w:tr>
        <w:trPr>
          <w:trHeight w:val="375" w:hRule="atLeast"/>
        </w:trPr>
        <w:tc>
          <w:tcPr>
            <w:tcW w:w="3988" w:type="dxa"/>
            <w:gridSpan w:val="2"/>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rPr>
                <w:rFonts w:hint="default" w:ascii="メイリオ" w:hAnsi="メイリオ" w:eastAsia="メイリオ"/>
                <w:color w:val="000000" w:themeColor="text1"/>
                <w:kern w:val="0"/>
                <w:sz w:val="18"/>
              </w:rPr>
            </w:pPr>
            <w:r>
              <w:rPr>
                <w:rFonts w:hint="eastAsia" w:ascii="メイリオ" w:hAnsi="メイリオ" w:eastAsia="メイリオ"/>
                <w:b w:val="1"/>
                <w:color w:val="000000" w:themeColor="text1"/>
                <w:kern w:val="0"/>
                <w:sz w:val="18"/>
              </w:rPr>
              <w:t>３．介護予防支援</w:t>
            </w:r>
          </w:p>
        </w:tc>
        <w:tc>
          <w:tcPr>
            <w:tcW w:w="1464"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1,066 </w:t>
            </w:r>
          </w:p>
        </w:tc>
        <w:tc>
          <w:tcPr>
            <w:tcW w:w="1465"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1,014 </w:t>
            </w:r>
          </w:p>
        </w:tc>
        <w:tc>
          <w:tcPr>
            <w:tcW w:w="1527"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1,014 </w:t>
            </w:r>
          </w:p>
        </w:tc>
      </w:tr>
      <w:tr>
        <w:trPr>
          <w:trHeight w:val="375" w:hRule="atLeast"/>
        </w:trPr>
        <w:tc>
          <w:tcPr>
            <w:tcW w:w="3988" w:type="dxa"/>
            <w:gridSpan w:val="2"/>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b w:val="1"/>
                <w:color w:val="000000" w:themeColor="text1"/>
                <w:kern w:val="0"/>
                <w:sz w:val="18"/>
                <w:u w:val="single" w:color="auto"/>
              </w:rPr>
            </w:pPr>
            <w:r>
              <w:rPr>
                <w:rFonts w:hint="eastAsia" w:ascii="メイリオ" w:hAnsi="メイリオ" w:eastAsia="メイリオ"/>
                <w:b w:val="1"/>
                <w:color w:val="000000" w:themeColor="text1"/>
                <w:kern w:val="0"/>
                <w:sz w:val="18"/>
                <w:u w:val="none" w:color="auto"/>
              </w:rPr>
              <w:t>介護予防サービスの総給付費</w:t>
            </w:r>
          </w:p>
        </w:tc>
        <w:tc>
          <w:tcPr>
            <w:tcW w:w="1464" w:type="dxa"/>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3,694 </w:t>
            </w:r>
          </w:p>
        </w:tc>
        <w:tc>
          <w:tcPr>
            <w:tcW w:w="1465" w:type="dxa"/>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3,561 </w:t>
            </w:r>
          </w:p>
        </w:tc>
        <w:tc>
          <w:tcPr>
            <w:tcW w:w="1527" w:type="dxa"/>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top"/>
          </w:tcPr>
          <w:p>
            <w:pPr>
              <w:pStyle w:val="0"/>
              <w:widowControl w:val="1"/>
              <w:spacing w:before="33" w:beforeLines="10" w:beforeAutospacing="0" w:after="67" w:afterLines="20" w:afterAutospacing="0" w:line="280" w:lineRule="exact"/>
              <w:jc w:val="right"/>
              <w:rPr>
                <w:rFonts w:hint="default" w:ascii="メイリオ" w:hAnsi="メイリオ" w:eastAsia="メイリオ"/>
                <w:b w:val="0"/>
                <w:color w:val="000000" w:themeColor="text1"/>
                <w:kern w:val="0"/>
                <w:sz w:val="18"/>
                <w:u w:val="none" w:color="auto"/>
              </w:rPr>
            </w:pPr>
            <w:r>
              <w:rPr>
                <w:rFonts w:hint="eastAsia" w:ascii="メイリオ" w:hAnsi="メイリオ" w:eastAsia="メイリオ"/>
                <w:b w:val="0"/>
                <w:color w:val="000000" w:themeColor="text1"/>
                <w:sz w:val="18"/>
                <w:u w:val="none" w:color="auto"/>
              </w:rPr>
              <w:t xml:space="preserve">3,561 </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8"/>
        <w:rPr>
          <w:rFonts w:hint="default"/>
          <w:color w:val="000000" w:themeColor="text1"/>
        </w:rPr>
      </w:pPr>
      <w:bookmarkStart w:id="38" w:name="_Toc154129944"/>
      <w:r>
        <w:rPr>
          <w:rFonts w:hint="eastAsia"/>
          <w:color w:val="000000" w:themeColor="text1"/>
        </w:rPr>
        <w:t>第４節　保険料の算出</w:t>
      </w:r>
      <w:bookmarkEnd w:id="38"/>
      <w:r>
        <w:rPr>
          <w:rFonts w:hint="default"/>
          <w:color w:val="000000" w:themeColor="text1"/>
        </w:rPr>
        <w:tab/>
      </w:r>
    </w:p>
    <w:p>
      <w:pPr>
        <w:pStyle w:val="0"/>
        <w:widowControl w:val="1"/>
        <w:snapToGrid w:val="0"/>
        <w:spacing w:line="120" w:lineRule="auto"/>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保険給付費の負担割合</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介護給付とは、要介護</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5</w:t>
      </w:r>
      <w:r>
        <w:rPr>
          <w:rFonts w:hint="default" w:ascii="メイリオ" w:hAnsi="メイリオ" w:eastAsia="メイリオ"/>
          <w:color w:val="000000" w:themeColor="text1"/>
          <w:sz w:val="24"/>
        </w:rPr>
        <w:t>の方が対象となるサービスで、介護を必要とする方に必要なサービスを提供するものです。訪問介護や通所介護のほか、施設入所や福祉用具の貸与などのサービスが利用できます。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予防給付とは、介護を必要としないように生活機能の維持や向上を目指すサービスで、要支援</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2</w:t>
      </w:r>
      <w:r>
        <w:rPr>
          <w:rFonts w:hint="default" w:ascii="メイリオ" w:hAnsi="メイリオ" w:eastAsia="メイリオ"/>
          <w:color w:val="000000" w:themeColor="text1"/>
          <w:sz w:val="24"/>
        </w:rPr>
        <w:t>の方が対象となります。訪問介護や通所介護などのサービスが利用できます。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介護給付、介護予防給付にかかる費用は、利用者の自己負担を除いて、</w:t>
      </w:r>
      <w:r>
        <w:rPr>
          <w:rFonts w:hint="default" w:ascii="メイリオ" w:hAnsi="メイリオ" w:eastAsia="メイリオ"/>
          <w:color w:val="000000" w:themeColor="text1"/>
          <w:sz w:val="24"/>
        </w:rPr>
        <w:t>50</w:t>
      </w:r>
      <w:r>
        <w:rPr>
          <w:rFonts w:hint="default" w:ascii="メイリオ" w:hAnsi="メイリオ" w:eastAsia="メイリオ"/>
          <w:color w:val="000000" w:themeColor="text1"/>
          <w:sz w:val="24"/>
        </w:rPr>
        <w:t>％を保険料、</w:t>
      </w:r>
      <w:r>
        <w:rPr>
          <w:rFonts w:hint="default" w:ascii="メイリオ" w:hAnsi="メイリオ" w:eastAsia="メイリオ"/>
          <w:color w:val="000000" w:themeColor="text1"/>
          <w:sz w:val="24"/>
        </w:rPr>
        <w:t>50</w:t>
      </w:r>
      <w:r>
        <w:rPr>
          <w:rFonts w:hint="default" w:ascii="メイリオ" w:hAnsi="メイリオ" w:eastAsia="メイリオ"/>
          <w:color w:val="000000" w:themeColor="text1"/>
          <w:sz w:val="24"/>
        </w:rPr>
        <w:t>％を公費で賄います。保険料は、第</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号被保険者（</w:t>
      </w:r>
      <w:r>
        <w:rPr>
          <w:rFonts w:hint="default" w:ascii="メイリオ" w:hAnsi="メイリオ" w:eastAsia="メイリオ"/>
          <w:color w:val="000000" w:themeColor="text1"/>
          <w:sz w:val="24"/>
        </w:rPr>
        <w:t>65</w:t>
      </w:r>
      <w:r>
        <w:rPr>
          <w:rFonts w:hint="default" w:ascii="メイリオ" w:hAnsi="メイリオ" w:eastAsia="メイリオ"/>
          <w:color w:val="000000" w:themeColor="text1"/>
          <w:sz w:val="24"/>
        </w:rPr>
        <w:t>歳以上の方）が</w:t>
      </w:r>
      <w:r>
        <w:rPr>
          <w:rFonts w:hint="default" w:ascii="メイリオ" w:hAnsi="メイリオ" w:eastAsia="メイリオ"/>
          <w:color w:val="000000" w:themeColor="text1"/>
          <w:sz w:val="24"/>
        </w:rPr>
        <w:t>23</w:t>
      </w:r>
      <w:r>
        <w:rPr>
          <w:rFonts w:hint="default" w:ascii="メイリオ" w:hAnsi="メイリオ" w:eastAsia="メイリオ"/>
          <w:color w:val="000000" w:themeColor="text1"/>
          <w:sz w:val="24"/>
        </w:rPr>
        <w:t>％、第</w:t>
      </w:r>
      <w:r>
        <w:rPr>
          <w:rFonts w:hint="default" w:ascii="メイリオ" w:hAnsi="メイリオ" w:eastAsia="メイリオ"/>
          <w:color w:val="000000" w:themeColor="text1"/>
          <w:sz w:val="24"/>
        </w:rPr>
        <w:t>2</w:t>
      </w:r>
      <w:r>
        <w:rPr>
          <w:rFonts w:hint="default" w:ascii="メイリオ" w:hAnsi="メイリオ" w:eastAsia="メイリオ"/>
          <w:color w:val="000000" w:themeColor="text1"/>
          <w:sz w:val="24"/>
        </w:rPr>
        <w:t>号被保険者（</w:t>
      </w:r>
      <w:r>
        <w:rPr>
          <w:rFonts w:hint="default" w:ascii="メイリオ" w:hAnsi="メイリオ" w:eastAsia="メイリオ"/>
          <w:color w:val="000000" w:themeColor="text1"/>
          <w:sz w:val="24"/>
        </w:rPr>
        <w:t>40</w:t>
      </w:r>
      <w:r>
        <w:rPr>
          <w:rFonts w:hint="default" w:ascii="メイリオ" w:hAnsi="メイリオ" w:eastAsia="メイリオ"/>
          <w:color w:val="000000" w:themeColor="text1"/>
          <w:sz w:val="24"/>
        </w:rPr>
        <w:t>歳以上</w:t>
      </w:r>
      <w:r>
        <w:rPr>
          <w:rFonts w:hint="default" w:ascii="メイリオ" w:hAnsi="メイリオ" w:eastAsia="メイリオ"/>
          <w:color w:val="000000" w:themeColor="text1"/>
          <w:sz w:val="24"/>
        </w:rPr>
        <w:t>64</w:t>
      </w:r>
      <w:r>
        <w:rPr>
          <w:rFonts w:hint="default" w:ascii="メイリオ" w:hAnsi="メイリオ" w:eastAsia="メイリオ"/>
          <w:color w:val="000000" w:themeColor="text1"/>
          <w:sz w:val="24"/>
        </w:rPr>
        <w:t>歳未満の方）が</w:t>
      </w:r>
      <w:r>
        <w:rPr>
          <w:rFonts w:hint="default" w:ascii="メイリオ" w:hAnsi="メイリオ" w:eastAsia="メイリオ"/>
          <w:color w:val="000000" w:themeColor="text1"/>
          <w:sz w:val="24"/>
        </w:rPr>
        <w:t>27</w:t>
      </w:r>
      <w:r>
        <w:rPr>
          <w:rFonts w:hint="default" w:ascii="メイリオ" w:hAnsi="メイリオ" w:eastAsia="メイリオ"/>
          <w:color w:val="000000" w:themeColor="text1"/>
          <w:sz w:val="24"/>
        </w:rPr>
        <w:t>％を負担します。公費は、国が</w:t>
      </w:r>
      <w:r>
        <w:rPr>
          <w:rFonts w:hint="default" w:ascii="メイリオ" w:hAnsi="メイリオ" w:eastAsia="メイリオ"/>
          <w:color w:val="000000" w:themeColor="text1"/>
          <w:sz w:val="24"/>
        </w:rPr>
        <w:t>25</w:t>
      </w:r>
      <w:r>
        <w:rPr>
          <w:rFonts w:hint="default" w:ascii="メイリオ" w:hAnsi="メイリオ" w:eastAsia="メイリオ"/>
          <w:color w:val="000000" w:themeColor="text1"/>
          <w:sz w:val="24"/>
        </w:rPr>
        <w:t>％、都道府県が</w:t>
      </w:r>
      <w:r>
        <w:rPr>
          <w:rFonts w:hint="default" w:ascii="メイリオ" w:hAnsi="メイリオ" w:eastAsia="メイリオ"/>
          <w:color w:val="000000" w:themeColor="text1"/>
          <w:sz w:val="24"/>
        </w:rPr>
        <w:t>12.5</w:t>
      </w:r>
      <w:r>
        <w:rPr>
          <w:rFonts w:hint="default" w:ascii="メイリオ" w:hAnsi="メイリオ" w:eastAsia="メイリオ"/>
          <w:color w:val="000000" w:themeColor="text1"/>
          <w:sz w:val="24"/>
        </w:rPr>
        <w:t>％、市町村が</w:t>
      </w:r>
      <w:r>
        <w:rPr>
          <w:rFonts w:hint="default" w:ascii="メイリオ" w:hAnsi="メイリオ" w:eastAsia="メイリオ"/>
          <w:color w:val="000000" w:themeColor="text1"/>
          <w:sz w:val="24"/>
        </w:rPr>
        <w:t>12.5</w:t>
      </w:r>
      <w:r>
        <w:rPr>
          <w:rFonts w:hint="default" w:ascii="メイリオ" w:hAnsi="メイリオ" w:eastAsia="メイリオ"/>
          <w:color w:val="000000" w:themeColor="text1"/>
          <w:sz w:val="24"/>
        </w:rPr>
        <w:t>％を負担します。</w:t>
      </w:r>
    </w:p>
    <w:p>
      <w:pPr>
        <w:pStyle w:val="0"/>
        <w:widowControl w:val="1"/>
        <w:snapToGrid w:val="0"/>
        <w:spacing w:line="120" w:lineRule="auto"/>
        <w:ind w:left="210" w:leftChars="100" w:firstLine="240" w:firstLineChars="100"/>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２　地域支援事業費の負担割合</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予防・日常生活支援総合事業とは、市町村が中心となって、地域の実情に応じて、住民等の多様な主体が参画し、多様なサービスを充実することで、地域の支え合い体制づくりを推進し、要支援者等の方に対する効果的かつ効率的な支援等を可能とすることを目指すものです。要支援者と</w:t>
      </w:r>
      <w:r>
        <w:rPr>
          <w:rFonts w:hint="default" w:ascii="メイリオ" w:hAnsi="メイリオ" w:eastAsia="メイリオ"/>
          <w:color w:val="000000" w:themeColor="text1"/>
          <w:sz w:val="24"/>
        </w:rPr>
        <w:t>65</w:t>
      </w:r>
      <w:r>
        <w:rPr>
          <w:rFonts w:hint="default" w:ascii="メイリオ" w:hAnsi="メイリオ" w:eastAsia="メイリオ"/>
          <w:color w:val="000000" w:themeColor="text1"/>
          <w:sz w:val="24"/>
        </w:rPr>
        <w:t>歳以上の高齢者が対象で、訪問型や通所型のサービスや、地域の多様な主体が提供する生活支援サービスなどがあります。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介護予防・日常生活支援総合事業に要する費用は、</w:t>
      </w:r>
      <w:r>
        <w:rPr>
          <w:rFonts w:hint="default" w:ascii="メイリオ" w:hAnsi="メイリオ" w:eastAsia="メイリオ"/>
          <w:color w:val="000000" w:themeColor="text1"/>
          <w:sz w:val="24"/>
        </w:rPr>
        <w:t>50</w:t>
      </w:r>
      <w:r>
        <w:rPr>
          <w:rFonts w:hint="default" w:ascii="メイリオ" w:hAnsi="メイリオ" w:eastAsia="メイリオ"/>
          <w:color w:val="000000" w:themeColor="text1"/>
          <w:sz w:val="24"/>
        </w:rPr>
        <w:t>％を保険料、</w:t>
      </w:r>
      <w:r>
        <w:rPr>
          <w:rFonts w:hint="default" w:ascii="メイリオ" w:hAnsi="メイリオ" w:eastAsia="メイリオ"/>
          <w:color w:val="000000" w:themeColor="text1"/>
          <w:sz w:val="24"/>
        </w:rPr>
        <w:t>50</w:t>
      </w:r>
      <w:r>
        <w:rPr>
          <w:rFonts w:hint="default" w:ascii="メイリオ" w:hAnsi="メイリオ" w:eastAsia="メイリオ"/>
          <w:color w:val="000000" w:themeColor="text1"/>
          <w:sz w:val="24"/>
        </w:rPr>
        <w:t>％を公費で負担します。保険料は、第</w:t>
      </w:r>
      <w:r>
        <w:rPr>
          <w:rFonts w:hint="default" w:ascii="メイリオ" w:hAnsi="メイリオ" w:eastAsia="メイリオ"/>
          <w:color w:val="000000" w:themeColor="text1"/>
          <w:sz w:val="24"/>
        </w:rPr>
        <w:t>1</w:t>
      </w:r>
      <w:r>
        <w:rPr>
          <w:rFonts w:hint="default" w:ascii="メイリオ" w:hAnsi="メイリオ" w:eastAsia="メイリオ"/>
          <w:color w:val="000000" w:themeColor="text1"/>
          <w:sz w:val="24"/>
        </w:rPr>
        <w:t>号被保険者（</w:t>
      </w:r>
      <w:r>
        <w:rPr>
          <w:rFonts w:hint="default" w:ascii="メイリオ" w:hAnsi="メイリオ" w:eastAsia="メイリオ"/>
          <w:color w:val="000000" w:themeColor="text1"/>
          <w:sz w:val="24"/>
        </w:rPr>
        <w:t>65</w:t>
      </w:r>
      <w:r>
        <w:rPr>
          <w:rFonts w:hint="default" w:ascii="メイリオ" w:hAnsi="メイリオ" w:eastAsia="メイリオ"/>
          <w:color w:val="000000" w:themeColor="text1"/>
          <w:sz w:val="24"/>
        </w:rPr>
        <w:t>歳以上の方）が</w:t>
      </w:r>
      <w:r>
        <w:rPr>
          <w:rFonts w:hint="default" w:ascii="メイリオ" w:hAnsi="メイリオ" w:eastAsia="メイリオ"/>
          <w:color w:val="000000" w:themeColor="text1"/>
          <w:sz w:val="24"/>
        </w:rPr>
        <w:t>23</w:t>
      </w:r>
      <w:r>
        <w:rPr>
          <w:rFonts w:hint="default" w:ascii="メイリオ" w:hAnsi="メイリオ" w:eastAsia="メイリオ"/>
          <w:color w:val="000000" w:themeColor="text1"/>
          <w:sz w:val="24"/>
        </w:rPr>
        <w:t>％、第</w:t>
      </w:r>
      <w:r>
        <w:rPr>
          <w:rFonts w:hint="default" w:ascii="メイリオ" w:hAnsi="メイリオ" w:eastAsia="メイリオ"/>
          <w:color w:val="000000" w:themeColor="text1"/>
          <w:sz w:val="24"/>
        </w:rPr>
        <w:t>2</w:t>
      </w:r>
      <w:r>
        <w:rPr>
          <w:rFonts w:hint="default" w:ascii="メイリオ" w:hAnsi="メイリオ" w:eastAsia="メイリオ"/>
          <w:color w:val="000000" w:themeColor="text1"/>
          <w:sz w:val="24"/>
        </w:rPr>
        <w:t>号被保険者（</w:t>
      </w:r>
      <w:r>
        <w:rPr>
          <w:rFonts w:hint="default" w:ascii="メイリオ" w:hAnsi="メイリオ" w:eastAsia="メイリオ"/>
          <w:color w:val="000000" w:themeColor="text1"/>
          <w:sz w:val="24"/>
        </w:rPr>
        <w:t>40</w:t>
      </w:r>
      <w:r>
        <w:rPr>
          <w:rFonts w:hint="default" w:ascii="メイリオ" w:hAnsi="メイリオ" w:eastAsia="メイリオ"/>
          <w:color w:val="000000" w:themeColor="text1"/>
          <w:sz w:val="24"/>
        </w:rPr>
        <w:t>歳以上</w:t>
      </w:r>
      <w:r>
        <w:rPr>
          <w:rFonts w:hint="default" w:ascii="メイリオ" w:hAnsi="メイリオ" w:eastAsia="メイリオ"/>
          <w:color w:val="000000" w:themeColor="text1"/>
          <w:sz w:val="24"/>
        </w:rPr>
        <w:t>64</w:t>
      </w:r>
      <w:r>
        <w:rPr>
          <w:rFonts w:hint="default" w:ascii="メイリオ" w:hAnsi="メイリオ" w:eastAsia="メイリオ"/>
          <w:color w:val="000000" w:themeColor="text1"/>
          <w:sz w:val="24"/>
        </w:rPr>
        <w:t>歳未満の方）が</w:t>
      </w:r>
      <w:r>
        <w:rPr>
          <w:rFonts w:hint="default" w:ascii="メイリオ" w:hAnsi="メイリオ" w:eastAsia="メイリオ"/>
          <w:color w:val="000000" w:themeColor="text1"/>
          <w:sz w:val="24"/>
        </w:rPr>
        <w:t>27</w:t>
      </w:r>
      <w:r>
        <w:rPr>
          <w:rFonts w:hint="default" w:ascii="メイリオ" w:hAnsi="メイリオ" w:eastAsia="メイリオ"/>
          <w:color w:val="000000" w:themeColor="text1"/>
          <w:sz w:val="24"/>
        </w:rPr>
        <w:t>％を負担します。公費は、国が</w:t>
      </w:r>
      <w:r>
        <w:rPr>
          <w:rFonts w:hint="eastAsia" w:ascii="メイリオ" w:hAnsi="メイリオ" w:eastAsia="メイリオ"/>
          <w:color w:val="000000" w:themeColor="text1"/>
          <w:sz w:val="24"/>
        </w:rPr>
        <w:t>25</w:t>
      </w:r>
      <w:r>
        <w:rPr>
          <w:rFonts w:hint="default" w:ascii="メイリオ" w:hAnsi="メイリオ" w:eastAsia="メイリオ"/>
          <w:color w:val="000000" w:themeColor="text1"/>
          <w:sz w:val="24"/>
        </w:rPr>
        <w:t>％、都道府県が</w:t>
      </w:r>
      <w:r>
        <w:rPr>
          <w:rFonts w:hint="eastAsia" w:ascii="メイリオ" w:hAnsi="メイリオ" w:eastAsia="メイリオ"/>
          <w:color w:val="000000" w:themeColor="text1"/>
          <w:sz w:val="24"/>
        </w:rPr>
        <w:t>12.5</w:t>
      </w:r>
      <w:r>
        <w:rPr>
          <w:rFonts w:hint="default" w:ascii="メイリオ" w:hAnsi="メイリオ" w:eastAsia="メイリオ"/>
          <w:color w:val="000000" w:themeColor="text1"/>
          <w:sz w:val="24"/>
        </w:rPr>
        <w:t>％、市町村が</w:t>
      </w:r>
      <w:r>
        <w:rPr>
          <w:rFonts w:hint="eastAsia" w:ascii="メイリオ" w:hAnsi="メイリオ" w:eastAsia="メイリオ"/>
          <w:color w:val="000000" w:themeColor="text1"/>
          <w:sz w:val="24"/>
        </w:rPr>
        <w:t>12.5</w:t>
      </w:r>
      <w:r>
        <w:rPr>
          <w:rFonts w:hint="default" w:ascii="メイリオ" w:hAnsi="メイリオ" w:eastAsia="メイリオ"/>
          <w:color w:val="000000" w:themeColor="text1"/>
          <w:sz w:val="24"/>
        </w:rPr>
        <w:t>％を負担します。ただし、総合事業には市町村に対する給付の上限額が設定され</w:t>
      </w:r>
      <w:r>
        <w:rPr>
          <w:rFonts w:hint="eastAsia" w:ascii="メイリオ" w:hAnsi="メイリオ" w:eastAsia="メイリオ"/>
          <w:color w:val="000000" w:themeColor="text1"/>
          <w:sz w:val="24"/>
        </w:rPr>
        <w:t>ています</w:t>
      </w:r>
      <w:r>
        <w:rPr>
          <w:rFonts w:hint="eastAsia" w:ascii="メイリオ" w:hAnsi="メイリオ" w:eastAsia="メイリオ"/>
          <w:strike w:val="0"/>
          <w:dstrike w:val="0"/>
          <w:color w:val="000000" w:themeColor="text1"/>
          <w:sz w:val="24"/>
        </w:rPr>
        <w:t>が、一時的に上限を超える場合について、例外的に個別に判断する枠組みが設けられています。</w:t>
      </w:r>
    </w:p>
    <w:p>
      <w:pPr>
        <w:pStyle w:val="0"/>
        <w:widowControl w:val="1"/>
        <w:ind w:left="210" w:leftChars="100" w:firstLine="240" w:firstLineChars="100"/>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保険給付費等の見込み</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標準給付見込額は以下のとおりです。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5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405"/>
        <w:gridCol w:w="236"/>
        <w:gridCol w:w="2051"/>
        <w:gridCol w:w="1417"/>
        <w:gridCol w:w="1418"/>
        <w:gridCol w:w="1417"/>
        <w:gridCol w:w="1594"/>
      </w:tblGrid>
      <w:tr>
        <w:trPr/>
        <w:tc>
          <w:tcPr>
            <w:tcW w:w="2692" w:type="dxa"/>
            <w:gridSpan w:val="3"/>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区分</w:t>
            </w:r>
          </w:p>
        </w:tc>
        <w:tc>
          <w:tcPr>
            <w:tcW w:w="1417" w:type="dxa"/>
            <w:tcBorders>
              <w:top w:val="single" w:color="A6A6A6" w:themeColor="background1" w:themeShade="A6" w:sz="6" w:space="0"/>
              <w:left w:val="single" w:color="A6A6A6" w:themeColor="background1" w:themeShade="A6" w:sz="4" w:space="0"/>
              <w:bottom w:val="single" w:color="A6A6A6" w:themeColor="background1" w:themeShade="A6" w:sz="6" w:space="0"/>
              <w:right w:val="doub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合計</w:t>
            </w:r>
          </w:p>
        </w:tc>
        <w:tc>
          <w:tcPr>
            <w:tcW w:w="1418" w:type="dxa"/>
            <w:tcBorders>
              <w:top w:val="single" w:color="A6A6A6" w:themeColor="background1" w:themeShade="A6" w:sz="6" w:space="0"/>
              <w:left w:val="doub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6"/>
              </w:rPr>
              <w:t>令和６年度</w:t>
            </w:r>
            <w:r>
              <w:rPr>
                <w:rFonts w:hint="eastAsia" w:ascii="メイリオ" w:hAnsi="メイリオ" w:eastAsia="メイリオ"/>
                <w:color w:val="000000" w:themeColor="text1"/>
                <w:kern w:val="0"/>
                <w:sz w:val="16"/>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2024</w:t>
            </w:r>
            <w:r>
              <w:rPr>
                <w:rFonts w:hint="eastAsia" w:ascii="メイリオ" w:hAnsi="メイリオ" w:eastAsia="メイリオ"/>
                <w:color w:val="000000" w:themeColor="text1"/>
                <w:kern w:val="0"/>
                <w:sz w:val="16"/>
              </w:rPr>
              <w:t>年度）</w:t>
            </w:r>
          </w:p>
        </w:tc>
        <w:tc>
          <w:tcPr>
            <w:tcW w:w="1417"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6"/>
              </w:rPr>
              <w:t>令和７年度</w:t>
            </w:r>
            <w:r>
              <w:rPr>
                <w:rFonts w:hint="eastAsia" w:ascii="メイリオ" w:hAnsi="メイリオ" w:eastAsia="メイリオ"/>
                <w:color w:val="000000" w:themeColor="text1"/>
                <w:kern w:val="0"/>
                <w:sz w:val="16"/>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2025</w:t>
            </w:r>
            <w:r>
              <w:rPr>
                <w:rFonts w:hint="eastAsia" w:ascii="メイリオ" w:hAnsi="メイリオ" w:eastAsia="メイリオ"/>
                <w:color w:val="000000" w:themeColor="text1"/>
                <w:kern w:val="0"/>
                <w:sz w:val="16"/>
              </w:rPr>
              <w:t>年度）</w:t>
            </w:r>
          </w:p>
        </w:tc>
        <w:tc>
          <w:tcPr>
            <w:tcW w:w="1594"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6"/>
              </w:rPr>
              <w:t>令和８年度</w:t>
            </w:r>
            <w:r>
              <w:rPr>
                <w:rFonts w:hint="eastAsia" w:ascii="メイリオ" w:hAnsi="メイリオ" w:eastAsia="メイリオ"/>
                <w:color w:val="000000" w:themeColor="text1"/>
                <w:kern w:val="0"/>
                <w:sz w:val="16"/>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2026</w:t>
            </w:r>
            <w:r>
              <w:rPr>
                <w:rFonts w:hint="eastAsia" w:ascii="メイリオ" w:hAnsi="メイリオ" w:eastAsia="メイリオ"/>
                <w:color w:val="000000" w:themeColor="text1"/>
                <w:kern w:val="0"/>
                <w:sz w:val="16"/>
              </w:rPr>
              <w:t>年度）</w:t>
            </w:r>
          </w:p>
        </w:tc>
      </w:tr>
      <w:tr>
        <w:trPr>
          <w:trHeight w:val="720" w:hRule="atLeast"/>
        </w:trPr>
        <w:tc>
          <w:tcPr>
            <w:tcW w:w="2692" w:type="dxa"/>
            <w:gridSpan w:val="3"/>
            <w:tcBorders>
              <w:top w:val="single" w:color="A6A6A6" w:themeColor="background1" w:themeShade="A6" w:sz="6"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b w:val="1"/>
                <w:color w:val="000000" w:themeColor="text1"/>
                <w:sz w:val="18"/>
                <w:u w:val="single" w:color="auto"/>
              </w:rPr>
            </w:pPr>
            <w:r>
              <w:rPr>
                <w:rFonts w:hint="eastAsia" w:ascii="メイリオ" w:hAnsi="メイリオ" w:eastAsia="メイリオ"/>
                <w:b w:val="1"/>
                <w:color w:val="000000" w:themeColor="text1"/>
                <w:sz w:val="18"/>
                <w:u w:val="none" w:color="auto"/>
              </w:rPr>
              <w:t>標準給付費見込額</w:t>
            </w:r>
          </w:p>
        </w:tc>
        <w:tc>
          <w:tcPr>
            <w:tcW w:w="1417" w:type="dxa"/>
            <w:tcBorders>
              <w:top w:val="single" w:color="A6A6A6" w:themeColor="background1" w:themeShade="A6" w:sz="6"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sz w:val="18"/>
                <w:u w:val="none" w:color="auto"/>
              </w:rPr>
            </w:pPr>
            <w:r>
              <w:rPr>
                <w:rFonts w:hint="eastAsia" w:ascii="メイリオ" w:hAnsi="メイリオ" w:eastAsia="メイリオ"/>
                <w:b w:val="0"/>
                <w:color w:val="000000" w:themeColor="text1"/>
                <w:sz w:val="18"/>
                <w:u w:val="none" w:color="auto"/>
              </w:rPr>
              <w:t xml:space="preserve">883,550,666 </w:t>
            </w:r>
          </w:p>
        </w:tc>
        <w:tc>
          <w:tcPr>
            <w:tcW w:w="1418" w:type="dxa"/>
            <w:tcBorders>
              <w:top w:val="single" w:color="A6A6A6" w:themeColor="background1" w:themeShade="A6" w:sz="6"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sz w:val="18"/>
                <w:u w:val="none" w:color="auto"/>
              </w:rPr>
            </w:pPr>
            <w:r>
              <w:rPr>
                <w:rFonts w:hint="eastAsia" w:ascii="メイリオ" w:hAnsi="メイリオ" w:eastAsia="メイリオ"/>
                <w:b w:val="0"/>
                <w:color w:val="000000" w:themeColor="text1"/>
                <w:sz w:val="18"/>
                <w:u w:val="none" w:color="auto"/>
              </w:rPr>
              <w:t xml:space="preserve">301,605,198 </w:t>
            </w:r>
          </w:p>
        </w:tc>
        <w:tc>
          <w:tcPr>
            <w:tcW w:w="1417"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sz w:val="18"/>
                <w:u w:val="none" w:color="auto"/>
              </w:rPr>
            </w:pPr>
            <w:r>
              <w:rPr>
                <w:rFonts w:hint="eastAsia" w:ascii="メイリオ" w:hAnsi="メイリオ" w:eastAsia="メイリオ"/>
                <w:b w:val="0"/>
                <w:color w:val="000000" w:themeColor="text1"/>
                <w:sz w:val="18"/>
                <w:u w:val="none" w:color="auto"/>
              </w:rPr>
              <w:t xml:space="preserve">291,353,237 </w:t>
            </w:r>
          </w:p>
        </w:tc>
        <w:tc>
          <w:tcPr>
            <w:tcW w:w="1594"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sz w:val="18"/>
                <w:u w:val="none" w:color="auto"/>
              </w:rPr>
            </w:pPr>
            <w:r>
              <w:rPr>
                <w:rFonts w:hint="eastAsia" w:ascii="メイリオ" w:hAnsi="メイリオ" w:eastAsia="メイリオ"/>
                <w:b w:val="0"/>
                <w:color w:val="000000" w:themeColor="text1"/>
                <w:sz w:val="18"/>
                <w:u w:val="none" w:color="auto"/>
              </w:rPr>
              <w:t xml:space="preserve">290,592,231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2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総給付費</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w w:val="90"/>
                <w:sz w:val="18"/>
                <w:u w:val="none" w:color="auto"/>
              </w:rPr>
            </w:pPr>
            <w:r>
              <w:rPr>
                <w:rFonts w:hint="eastAsia" w:ascii="メイリオ" w:hAnsi="メイリオ" w:eastAsia="メイリオ"/>
                <w:b w:val="0"/>
                <w:color w:val="000000" w:themeColor="text1"/>
                <w:sz w:val="18"/>
                <w:u w:val="none" w:color="auto"/>
              </w:rPr>
              <w:t xml:space="preserve">807,396,000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w w:val="90"/>
                <w:sz w:val="18"/>
                <w:u w:val="none" w:color="auto"/>
              </w:rPr>
            </w:pPr>
            <w:r>
              <w:rPr>
                <w:rFonts w:hint="eastAsia" w:ascii="メイリオ" w:hAnsi="メイリオ" w:eastAsia="メイリオ"/>
                <w:b w:val="0"/>
                <w:color w:val="000000" w:themeColor="text1"/>
                <w:sz w:val="18"/>
                <w:u w:val="none" w:color="auto"/>
              </w:rPr>
              <w:t xml:space="preserve">275,937,000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w w:val="90"/>
                <w:sz w:val="18"/>
                <w:u w:val="none" w:color="auto"/>
              </w:rPr>
            </w:pPr>
            <w:r>
              <w:rPr>
                <w:rFonts w:hint="eastAsia" w:ascii="メイリオ" w:hAnsi="メイリオ" w:eastAsia="メイリオ"/>
                <w:b w:val="0"/>
                <w:color w:val="000000" w:themeColor="text1"/>
                <w:sz w:val="18"/>
                <w:u w:val="none" w:color="auto"/>
              </w:rPr>
              <w:t xml:space="preserve">265,855,000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b w:val="0"/>
                <w:color w:val="000000" w:themeColor="text1"/>
                <w:w w:val="90"/>
                <w:sz w:val="18"/>
                <w:u w:val="none" w:color="auto"/>
              </w:rPr>
            </w:pPr>
            <w:r>
              <w:rPr>
                <w:rFonts w:hint="eastAsia" w:ascii="メイリオ" w:hAnsi="メイリオ" w:eastAsia="メイリオ"/>
                <w:b w:val="0"/>
                <w:color w:val="000000" w:themeColor="text1"/>
                <w:sz w:val="18"/>
                <w:u w:val="none" w:color="auto"/>
              </w:rPr>
              <w:t xml:space="preserve">265,604,000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287"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特定入所者介護サービス費等給付額（財政影響額調整後）</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50,532,523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17,032,167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16,919,372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16,580,984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特定入所者介護サービス費等給付額</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50,532,523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17,032,167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16,919,372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16,580,984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特定入所者介護サービス費等の見直しに伴う</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財政影響額</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287"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高額介護サービス費等給付額（財政影響額調整後）</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16,763,475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5,650,189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5,612,771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5,500,515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高額介護サービス費等</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給付額</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16,763,475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5,650,189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5,612,771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5,500,515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高額介護サービス費等の見直しに伴う財政影響額</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2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高額医療合算介護サービス費等給付額</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8,344,896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2,812,677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2,794,050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2,738,169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287"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算定対象審査支払手数料</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513,772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173,165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172,044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168,563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審査支払手数料一件</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当たり単価</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single" w:color="A6A6A6" w:themeColor="background1" w:themeShade="A6" w:sz="4"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59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59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59 </w:t>
            </w:r>
          </w:p>
        </w:tc>
      </w:tr>
      <w:tr>
        <w:trPr>
          <w:trHeight w:val="720" w:hRule="atLeast"/>
        </w:trPr>
        <w:tc>
          <w:tcPr>
            <w:tcW w:w="405"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審査支払手数料</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支払件数</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8,708 </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2,935 </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2,916 </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2,857 </w:t>
            </w:r>
          </w:p>
        </w:tc>
      </w:tr>
      <w:tr>
        <w:trPr>
          <w:trHeight w:val="720" w:hRule="atLeast"/>
        </w:trPr>
        <w:tc>
          <w:tcPr>
            <w:tcW w:w="405" w:type="dxa"/>
            <w:tcBorders>
              <w:top w:val="nil"/>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36" w:type="dxa"/>
            <w:tcBorders>
              <w:top w:val="nil"/>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p>
        </w:tc>
        <w:tc>
          <w:tcPr>
            <w:tcW w:w="2051"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left"/>
              <w:rPr>
                <w:rFonts w:hint="default" w:ascii="メイリオ" w:hAnsi="メイリオ" w:eastAsia="メイリオ"/>
                <w:b w:val="1"/>
                <w:color w:val="000000" w:themeColor="text1"/>
                <w:sz w:val="18"/>
                <w:u w:val="single" w:color="auto"/>
              </w:rPr>
            </w:pPr>
            <w:r>
              <w:rPr>
                <w:rFonts w:hint="eastAsia" w:ascii="メイリオ" w:hAnsi="メイリオ" w:eastAsia="メイリオ"/>
                <w:b w:val="1"/>
                <w:color w:val="000000" w:themeColor="text1"/>
                <w:sz w:val="18"/>
                <w:u w:val="none" w:color="auto"/>
              </w:rPr>
              <w:t>審査支払手数料差引</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6"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8" w:type="dxa"/>
            <w:tcBorders>
              <w:top w:val="single" w:color="A6A6A6" w:themeColor="background1" w:themeShade="A6" w:sz="4" w:space="0"/>
              <w:left w:val="doub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417"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c>
          <w:tcPr>
            <w:tcW w:w="1594"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0</w:t>
            </w:r>
          </w:p>
        </w:tc>
      </w:tr>
    </w:tbl>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４　地域支援事業費見込額</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地域支援事業費見込額は以下のとおりです。</w:t>
      </w:r>
    </w:p>
    <w:p>
      <w:pPr>
        <w:pStyle w:val="0"/>
        <w:snapToGrid w:val="0"/>
        <w:spacing w:line="120" w:lineRule="auto"/>
        <w:rPr>
          <w:rFonts w:hint="default"/>
          <w:color w:val="000000" w:themeColor="text1"/>
        </w:rPr>
      </w:pPr>
    </w:p>
    <w:tbl>
      <w:tblPr>
        <w:tblStyle w:val="11"/>
        <w:tblW w:w="84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425"/>
        <w:gridCol w:w="2410"/>
        <w:gridCol w:w="1382"/>
        <w:gridCol w:w="1382"/>
        <w:gridCol w:w="1382"/>
        <w:gridCol w:w="1453"/>
      </w:tblGrid>
      <w:tr>
        <w:trPr/>
        <w:tc>
          <w:tcPr>
            <w:tcW w:w="283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区分</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合計</w:t>
            </w:r>
          </w:p>
        </w:tc>
        <w:tc>
          <w:tcPr>
            <w:tcW w:w="1382"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6"/>
              </w:rPr>
            </w:pPr>
            <w:r>
              <w:rPr>
                <w:rFonts w:hint="eastAsia" w:ascii="メイリオ" w:hAnsi="メイリオ" w:eastAsia="メイリオ"/>
                <w:color w:val="000000" w:themeColor="text1"/>
                <w:kern w:val="0"/>
                <w:sz w:val="18"/>
              </w:rPr>
              <w:t>令和６年度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2024</w:t>
            </w:r>
            <w:r>
              <w:rPr>
                <w:rFonts w:hint="eastAsia" w:ascii="メイリオ" w:hAnsi="メイリオ" w:eastAsia="メイリオ"/>
                <w:color w:val="000000" w:themeColor="text1"/>
                <w:kern w:val="0"/>
                <w:sz w:val="16"/>
              </w:rPr>
              <w:t>年度）</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令和７年度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2025</w:t>
            </w:r>
            <w:r>
              <w:rPr>
                <w:rFonts w:hint="eastAsia" w:ascii="メイリオ" w:hAnsi="メイリオ" w:eastAsia="メイリオ"/>
                <w:color w:val="000000" w:themeColor="text1"/>
                <w:kern w:val="0"/>
                <w:sz w:val="16"/>
              </w:rPr>
              <w:t>年度）</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令和８年度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6"/>
              </w:rPr>
              <w:t>（</w:t>
            </w:r>
            <w:r>
              <w:rPr>
                <w:rFonts w:hint="eastAsia" w:ascii="メイリオ" w:hAnsi="メイリオ" w:eastAsia="メイリオ"/>
                <w:color w:val="000000" w:themeColor="text1"/>
                <w:kern w:val="0"/>
                <w:sz w:val="16"/>
              </w:rPr>
              <w:t>2026</w:t>
            </w:r>
            <w:r>
              <w:rPr>
                <w:rFonts w:hint="eastAsia" w:ascii="メイリオ" w:hAnsi="メイリオ" w:eastAsia="メイリオ"/>
                <w:color w:val="000000" w:themeColor="text1"/>
                <w:kern w:val="0"/>
                <w:sz w:val="16"/>
              </w:rPr>
              <w:t>年度）</w:t>
            </w:r>
          </w:p>
        </w:tc>
      </w:tr>
      <w:tr>
        <w:trPr>
          <w:trHeight w:val="720" w:hRule="atLeast"/>
        </w:trPr>
        <w:tc>
          <w:tcPr>
            <w:tcW w:w="2835" w:type="dxa"/>
            <w:gridSpan w:val="2"/>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地域支援事業費</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46,410,000 </w:t>
            </w:r>
          </w:p>
        </w:tc>
        <w:tc>
          <w:tcPr>
            <w:tcW w:w="1382"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r>
      <w:tr>
        <w:trPr>
          <w:trHeight w:val="720" w:hRule="atLeast"/>
        </w:trPr>
        <w:tc>
          <w:tcPr>
            <w:tcW w:w="425"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41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介護予防・日常生活支援</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総合事業費</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20,910,000 </w:t>
            </w:r>
          </w:p>
        </w:tc>
        <w:tc>
          <w:tcPr>
            <w:tcW w:w="1382"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6,970,000 </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6,970,000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6,970,000 </w:t>
            </w:r>
          </w:p>
        </w:tc>
      </w:tr>
      <w:tr>
        <w:trPr>
          <w:trHeight w:val="720" w:hRule="atLeast"/>
        </w:trPr>
        <w:tc>
          <w:tcPr>
            <w:tcW w:w="425"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41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包括的支援事業（地域包括支援センターの運営）</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及び任意事業費</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6,900,000 </w:t>
            </w:r>
          </w:p>
        </w:tc>
        <w:tc>
          <w:tcPr>
            <w:tcW w:w="1382"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2,300,000 </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2,300,000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2,300,000 </w:t>
            </w:r>
          </w:p>
        </w:tc>
      </w:tr>
      <w:tr>
        <w:trPr>
          <w:trHeight w:val="720" w:hRule="atLeast"/>
        </w:trPr>
        <w:tc>
          <w:tcPr>
            <w:tcW w:w="425" w:type="dxa"/>
            <w:tcBorders>
              <w:top w:val="nil"/>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sz w:val="18"/>
              </w:rPr>
            </w:pPr>
          </w:p>
        </w:tc>
        <w:tc>
          <w:tcPr>
            <w:tcW w:w="241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包括的支援事業</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（社会保障充実分）</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18,600,000 </w:t>
            </w:r>
          </w:p>
        </w:tc>
        <w:tc>
          <w:tcPr>
            <w:tcW w:w="1382" w:type="dxa"/>
            <w:tcBorders>
              <w:top w:val="single" w:color="A6A6A6" w:themeColor="background1" w:themeShade="A6" w:sz="4" w:space="0"/>
              <w:left w:val="doub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6,200,000 </w:t>
            </w:r>
          </w:p>
        </w:tc>
        <w:tc>
          <w:tcPr>
            <w:tcW w:w="138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6,200,000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6,200,000 </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５　基準額に対する介護保険料の段階設定等</w:t>
      </w:r>
      <w:r>
        <w:rPr>
          <w:rFonts w:hint="default"/>
          <w:color w:val="000000" w:themeColor="text1"/>
        </w:rPr>
        <w:tab/>
      </w:r>
    </w:p>
    <w:p>
      <w:pPr>
        <w:pStyle w:val="40"/>
        <w:rPr>
          <w:rFonts w:hint="default"/>
          <w:b w:val="0"/>
          <w:color w:val="000000" w:themeColor="text1"/>
        </w:rPr>
      </w:pPr>
      <w:r>
        <w:rPr>
          <w:rFonts w:hint="eastAsia"/>
          <w:b w:val="0"/>
          <w:color w:val="000000" w:themeColor="text1"/>
        </w:rPr>
        <w:t>　介護保険料の段階設定は</w:t>
      </w:r>
      <w:r>
        <w:rPr>
          <w:rFonts w:hint="eastAsia"/>
          <w:b w:val="0"/>
          <w:color w:val="000000" w:themeColor="text1"/>
        </w:rPr>
        <w:t>13</w:t>
      </w:r>
      <w:r>
        <w:rPr>
          <w:rFonts w:hint="eastAsia"/>
          <w:b w:val="0"/>
          <w:color w:val="000000" w:themeColor="text1"/>
        </w:rPr>
        <w:t>段階とし、各段階を次のとおり設定します。</w:t>
      </w:r>
    </w:p>
    <w:p>
      <w:pPr>
        <w:pStyle w:val="40"/>
        <w:snapToGrid w:val="0"/>
        <w:spacing w:line="60" w:lineRule="auto"/>
        <w:rPr>
          <w:rFonts w:hint="default"/>
          <w:b w:val="0"/>
          <w:color w:val="000000" w:themeColor="text1"/>
        </w:rPr>
      </w:pPr>
    </w:p>
    <w:tbl>
      <w:tblPr>
        <w:tblStyle w:val="11"/>
        <w:tblW w:w="85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578"/>
        <w:gridCol w:w="1985"/>
        <w:gridCol w:w="4986"/>
      </w:tblGrid>
      <w:tr>
        <w:trPr>
          <w:trHeight w:val="532"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保険料率</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対象者</w:t>
            </w:r>
          </w:p>
        </w:tc>
      </w:tr>
      <w:tr>
        <w:trPr>
          <w:trHeight w:val="1104"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第１段階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0.455</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（軽減後</w:t>
            </w:r>
            <w:r>
              <w:rPr>
                <w:rFonts w:hint="eastAsia" w:ascii="メイリオ" w:hAnsi="メイリオ" w:eastAsia="メイリオ"/>
                <w:color w:val="000000" w:themeColor="text1"/>
                <w:kern w:val="0"/>
              </w:rPr>
              <w:t>0.285</w:t>
            </w:r>
            <w:r>
              <w:rPr>
                <w:rFonts w:hint="eastAsia" w:ascii="メイリオ" w:hAnsi="メイリオ" w:eastAsia="メイリオ"/>
                <w:color w:val="000000" w:themeColor="text1"/>
                <w:kern w:val="0"/>
              </w:rPr>
              <w:t>）</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生活保護受給者</w:t>
            </w:r>
          </w:p>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老齢福祉年金受給者で世帯全員が市町村民税非課税世帯</w:t>
            </w:r>
          </w:p>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世帯全員が市町村民税非課税で、本人の合計所得金額と課税年金収入額の合計が</w:t>
            </w:r>
            <w:r>
              <w:rPr>
                <w:rFonts w:hint="eastAsia" w:ascii="メイリオ" w:hAnsi="メイリオ" w:eastAsia="メイリオ"/>
                <w:color w:val="000000" w:themeColor="text1"/>
                <w:kern w:val="0"/>
              </w:rPr>
              <w:t>80</w:t>
            </w:r>
            <w:r>
              <w:rPr>
                <w:rFonts w:hint="eastAsia" w:ascii="メイリオ" w:hAnsi="メイリオ" w:eastAsia="メイリオ"/>
                <w:color w:val="000000" w:themeColor="text1"/>
                <w:kern w:val="0"/>
              </w:rPr>
              <w:t>万円以下の者等</w:t>
            </w:r>
          </w:p>
        </w:tc>
      </w:tr>
      <w:tr>
        <w:trPr>
          <w:trHeight w:val="976"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第２段階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0.685</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（軽減後</w:t>
            </w:r>
            <w:r>
              <w:rPr>
                <w:rFonts w:hint="eastAsia" w:ascii="メイリオ" w:hAnsi="メイリオ" w:eastAsia="メイリオ"/>
                <w:color w:val="000000" w:themeColor="text1"/>
                <w:kern w:val="0"/>
              </w:rPr>
              <w:t>0.485</w:t>
            </w:r>
            <w:r>
              <w:rPr>
                <w:rFonts w:hint="eastAsia" w:ascii="メイリオ" w:hAnsi="メイリオ" w:eastAsia="メイリオ"/>
                <w:color w:val="000000" w:themeColor="text1"/>
                <w:kern w:val="0"/>
              </w:rPr>
              <w:t>）</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世帯全員が市町村民税非課税で、本人の合計所得金額と課税年金収入額の合計が</w:t>
            </w:r>
            <w:r>
              <w:rPr>
                <w:rFonts w:hint="eastAsia" w:ascii="メイリオ" w:hAnsi="メイリオ" w:eastAsia="メイリオ"/>
                <w:color w:val="000000" w:themeColor="text1"/>
                <w:kern w:val="0"/>
              </w:rPr>
              <w:t>80</w:t>
            </w:r>
            <w:r>
              <w:rPr>
                <w:rFonts w:hint="eastAsia" w:ascii="メイリオ" w:hAnsi="メイリオ" w:eastAsia="メイリオ"/>
                <w:color w:val="000000" w:themeColor="text1"/>
                <w:kern w:val="0"/>
              </w:rPr>
              <w:t>万円を超え</w:t>
            </w:r>
            <w:r>
              <w:rPr>
                <w:rFonts w:hint="eastAsia" w:ascii="メイリオ" w:hAnsi="メイリオ" w:eastAsia="メイリオ"/>
                <w:color w:val="000000" w:themeColor="text1"/>
                <w:kern w:val="0"/>
              </w:rPr>
              <w:t>120</w:t>
            </w:r>
            <w:r>
              <w:rPr>
                <w:rFonts w:hint="eastAsia" w:ascii="メイリオ" w:hAnsi="メイリオ" w:eastAsia="メイリオ"/>
                <w:color w:val="000000" w:themeColor="text1"/>
                <w:kern w:val="0"/>
              </w:rPr>
              <w:t>万円以下の者等</w:t>
            </w:r>
          </w:p>
        </w:tc>
      </w:tr>
      <w:tr>
        <w:trPr>
          <w:trHeight w:val="976"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第３段階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0.69</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（軽減後</w:t>
            </w:r>
            <w:r>
              <w:rPr>
                <w:rFonts w:hint="eastAsia" w:ascii="メイリオ" w:hAnsi="メイリオ" w:eastAsia="メイリオ"/>
                <w:color w:val="000000" w:themeColor="text1"/>
                <w:kern w:val="0"/>
              </w:rPr>
              <w:t>0.685</w:t>
            </w:r>
            <w:r>
              <w:rPr>
                <w:rFonts w:hint="eastAsia" w:ascii="メイリオ" w:hAnsi="メイリオ" w:eastAsia="メイリオ"/>
                <w:color w:val="000000" w:themeColor="text1"/>
                <w:kern w:val="0"/>
              </w:rPr>
              <w:t>）</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世帯全員が市町村民税非課税で、本人の課税年金収入額と合計所得金額の合計額が</w:t>
            </w:r>
            <w:r>
              <w:rPr>
                <w:rFonts w:hint="eastAsia" w:ascii="メイリオ" w:hAnsi="メイリオ" w:eastAsia="メイリオ"/>
                <w:color w:val="000000" w:themeColor="text1"/>
                <w:kern w:val="0"/>
              </w:rPr>
              <w:t>120</w:t>
            </w:r>
            <w:r>
              <w:rPr>
                <w:rFonts w:hint="eastAsia" w:ascii="メイリオ" w:hAnsi="メイリオ" w:eastAsia="メイリオ"/>
                <w:color w:val="000000" w:themeColor="text1"/>
                <w:kern w:val="0"/>
              </w:rPr>
              <w:t>万円を超える者等</w:t>
            </w:r>
          </w:p>
        </w:tc>
      </w:tr>
      <w:tr>
        <w:trPr>
          <w:trHeight w:val="1104"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第４段階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0.90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世帯に市町村民税課税者がいるが、本人は市町村民税非課税で、本人の課税年金収入額と合計所得金額の合計額が</w:t>
            </w:r>
            <w:r>
              <w:rPr>
                <w:rFonts w:hint="eastAsia" w:ascii="メイリオ" w:hAnsi="メイリオ" w:eastAsia="メイリオ"/>
                <w:color w:val="000000" w:themeColor="text1"/>
                <w:kern w:val="0"/>
              </w:rPr>
              <w:t>80</w:t>
            </w:r>
            <w:r>
              <w:rPr>
                <w:rFonts w:hint="eastAsia" w:ascii="メイリオ" w:hAnsi="メイリオ" w:eastAsia="メイリオ"/>
                <w:color w:val="000000" w:themeColor="text1"/>
                <w:kern w:val="0"/>
              </w:rPr>
              <w:t>万円以下の者等</w:t>
            </w:r>
          </w:p>
        </w:tc>
      </w:tr>
      <w:tr>
        <w:trPr>
          <w:trHeight w:val="1104"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第５段階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1.00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世帯に市町村民税課税者がいるが、本人は市町村民税非課税で本人の課税年金収入額と合計所得金額の合計額が</w:t>
            </w:r>
            <w:r>
              <w:rPr>
                <w:rFonts w:hint="eastAsia" w:ascii="メイリオ" w:hAnsi="メイリオ" w:eastAsia="メイリオ"/>
                <w:color w:val="000000" w:themeColor="text1"/>
                <w:kern w:val="0"/>
              </w:rPr>
              <w:t>80</w:t>
            </w:r>
            <w:r>
              <w:rPr>
                <w:rFonts w:hint="eastAsia" w:ascii="メイリオ" w:hAnsi="メイリオ" w:eastAsia="メイリオ"/>
                <w:color w:val="000000" w:themeColor="text1"/>
                <w:kern w:val="0"/>
              </w:rPr>
              <w:t>万円を超える者等</w:t>
            </w:r>
          </w:p>
        </w:tc>
      </w:tr>
      <w:tr>
        <w:trPr>
          <w:trHeight w:val="770"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第６段階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1.20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120</w:t>
            </w:r>
            <w:r>
              <w:rPr>
                <w:rFonts w:hint="eastAsia" w:ascii="メイリオ" w:hAnsi="メイリオ" w:eastAsia="メイリオ"/>
                <w:color w:val="000000" w:themeColor="text1"/>
                <w:kern w:val="0"/>
              </w:rPr>
              <w:t>万円未満の者等</w:t>
            </w:r>
          </w:p>
        </w:tc>
      </w:tr>
      <w:tr>
        <w:trPr>
          <w:trHeight w:val="839"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第７段階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1.30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120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210</w:t>
            </w:r>
            <w:r>
              <w:rPr>
                <w:rFonts w:hint="eastAsia" w:ascii="メイリオ" w:hAnsi="メイリオ" w:eastAsia="メイリオ"/>
                <w:color w:val="000000" w:themeColor="text1"/>
                <w:kern w:val="0"/>
              </w:rPr>
              <w:t>万円未満の者等</w:t>
            </w:r>
          </w:p>
        </w:tc>
      </w:tr>
      <w:tr>
        <w:trPr>
          <w:trHeight w:val="709"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第８段階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1.50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210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320</w:t>
            </w:r>
            <w:r>
              <w:rPr>
                <w:rFonts w:hint="eastAsia" w:ascii="メイリオ" w:hAnsi="メイリオ" w:eastAsia="メイリオ"/>
                <w:color w:val="000000" w:themeColor="text1"/>
                <w:kern w:val="0"/>
              </w:rPr>
              <w:t>万円未満の者等</w:t>
            </w:r>
          </w:p>
        </w:tc>
      </w:tr>
      <w:tr>
        <w:trPr>
          <w:trHeight w:val="690"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第９段階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1.70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320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420</w:t>
            </w:r>
            <w:r>
              <w:rPr>
                <w:rFonts w:hint="eastAsia" w:ascii="メイリオ" w:hAnsi="メイリオ" w:eastAsia="メイリオ"/>
                <w:color w:val="000000" w:themeColor="text1"/>
                <w:kern w:val="0"/>
              </w:rPr>
              <w:t>万円未満の者等</w:t>
            </w:r>
          </w:p>
        </w:tc>
      </w:tr>
      <w:tr>
        <w:trPr>
          <w:trHeight w:val="701"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10</w:t>
            </w:r>
            <w:r>
              <w:rPr>
                <w:rFonts w:hint="eastAsia" w:ascii="メイリオ" w:hAnsi="メイリオ" w:eastAsia="メイリオ"/>
                <w:color w:val="000000" w:themeColor="text1"/>
                <w:kern w:val="0"/>
              </w:rPr>
              <w:t>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1.90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420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520</w:t>
            </w:r>
            <w:r>
              <w:rPr>
                <w:rFonts w:hint="eastAsia" w:ascii="メイリオ" w:hAnsi="メイリオ" w:eastAsia="メイリオ"/>
                <w:color w:val="000000" w:themeColor="text1"/>
                <w:kern w:val="0"/>
              </w:rPr>
              <w:t>万円未満の者等</w:t>
            </w:r>
          </w:p>
        </w:tc>
      </w:tr>
      <w:tr>
        <w:trPr>
          <w:trHeight w:val="697"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11</w:t>
            </w:r>
            <w:r>
              <w:rPr>
                <w:rFonts w:hint="eastAsia" w:ascii="メイリオ" w:hAnsi="メイリオ" w:eastAsia="メイリオ"/>
                <w:color w:val="000000" w:themeColor="text1"/>
                <w:kern w:val="0"/>
              </w:rPr>
              <w:t>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2.10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520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620</w:t>
            </w:r>
            <w:r>
              <w:rPr>
                <w:rFonts w:hint="eastAsia" w:ascii="メイリオ" w:hAnsi="メイリオ" w:eastAsia="メイリオ"/>
                <w:color w:val="000000" w:themeColor="text1"/>
                <w:kern w:val="0"/>
              </w:rPr>
              <w:t>万円未満の者等</w:t>
            </w:r>
          </w:p>
        </w:tc>
      </w:tr>
      <w:tr>
        <w:trPr>
          <w:trHeight w:val="561"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12</w:t>
            </w:r>
            <w:r>
              <w:rPr>
                <w:rFonts w:hint="eastAsia" w:ascii="メイリオ" w:hAnsi="メイリオ" w:eastAsia="メイリオ"/>
                <w:color w:val="000000" w:themeColor="text1"/>
                <w:kern w:val="0"/>
              </w:rPr>
              <w:t>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2.30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620</w:t>
            </w:r>
            <w:r>
              <w:rPr>
                <w:rFonts w:hint="eastAsia" w:ascii="メイリオ" w:hAnsi="メイリオ" w:eastAsia="メイリオ"/>
                <w:color w:val="000000" w:themeColor="text1"/>
                <w:kern w:val="0"/>
              </w:rPr>
              <w:t>万円以上</w:t>
            </w:r>
            <w:r>
              <w:rPr>
                <w:rFonts w:hint="eastAsia" w:ascii="メイリオ" w:hAnsi="メイリオ" w:eastAsia="メイリオ"/>
                <w:color w:val="000000" w:themeColor="text1"/>
                <w:kern w:val="0"/>
              </w:rPr>
              <w:t>720</w:t>
            </w:r>
            <w:r>
              <w:rPr>
                <w:rFonts w:hint="eastAsia" w:ascii="メイリオ" w:hAnsi="メイリオ" w:eastAsia="メイリオ"/>
                <w:color w:val="000000" w:themeColor="text1"/>
                <w:kern w:val="0"/>
              </w:rPr>
              <w:t>万円未満の者等</w:t>
            </w:r>
          </w:p>
        </w:tc>
      </w:tr>
      <w:tr>
        <w:trPr>
          <w:trHeight w:val="562" w:hRule="atLeast"/>
        </w:trPr>
        <w:tc>
          <w:tcPr>
            <w:tcW w:w="157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13</w:t>
            </w:r>
            <w:r>
              <w:rPr>
                <w:rFonts w:hint="eastAsia" w:ascii="メイリオ" w:hAnsi="メイリオ" w:eastAsia="メイリオ"/>
                <w:color w:val="000000" w:themeColor="text1"/>
                <w:kern w:val="0"/>
              </w:rPr>
              <w:t>段階</w:t>
            </w:r>
          </w:p>
        </w:tc>
        <w:tc>
          <w:tcPr>
            <w:tcW w:w="198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基準額×</w:t>
            </w:r>
            <w:r>
              <w:rPr>
                <w:rFonts w:hint="eastAsia" w:ascii="メイリオ" w:hAnsi="メイリオ" w:eastAsia="メイリオ"/>
                <w:color w:val="000000" w:themeColor="text1"/>
                <w:kern w:val="0"/>
              </w:rPr>
              <w:t>2.40</w:t>
            </w:r>
          </w:p>
        </w:tc>
        <w:tc>
          <w:tcPr>
            <w:tcW w:w="4986"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35"/>
              <w:widowControl w:val="1"/>
              <w:numPr>
                <w:ilvl w:val="0"/>
                <w:numId w:val="13"/>
              </w:numPr>
              <w:spacing w:before="33" w:beforeLines="10" w:beforeAutospacing="0" w:after="33" w:afterLines="10" w:afterAutospacing="0" w:line="240" w:lineRule="exact"/>
              <w:ind w:left="357" w:leftChars="0" w:right="105" w:rightChars="50" w:hanging="244"/>
              <w:jc w:val="lef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本人が市町村民税課税で、合計所得金額が</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720</w:t>
            </w:r>
            <w:r>
              <w:rPr>
                <w:rFonts w:hint="eastAsia" w:ascii="メイリオ" w:hAnsi="メイリオ" w:eastAsia="メイリオ"/>
                <w:color w:val="000000" w:themeColor="text1"/>
                <w:kern w:val="0"/>
              </w:rPr>
              <w:t>万円以上の者等</w:t>
            </w:r>
          </w:p>
        </w:tc>
      </w:tr>
    </w:tbl>
    <w:p>
      <w:pPr>
        <w:pStyle w:val="40"/>
        <w:rPr>
          <w:rFonts w:hint="default"/>
          <w:color w:val="000000" w:themeColor="text1"/>
        </w:rPr>
      </w:pPr>
      <w:r>
        <w:rPr>
          <w:rFonts w:hint="eastAsia"/>
          <w:color w:val="000000" w:themeColor="text1"/>
        </w:rPr>
        <w:t>６　所得段階別被保険者数（第１号被保険者数）の推計</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第</w:t>
      </w:r>
      <w:r>
        <w:rPr>
          <w:rFonts w:hint="eastAsia" w:ascii="メイリオ" w:hAnsi="メイリオ" w:eastAsia="メイリオ"/>
          <w:color w:val="000000" w:themeColor="text1"/>
          <w:sz w:val="24"/>
        </w:rPr>
        <w:t>1</w:t>
      </w:r>
      <w:r>
        <w:rPr>
          <w:rFonts w:hint="eastAsia" w:ascii="メイリオ" w:hAnsi="メイリオ" w:eastAsia="メイリオ"/>
          <w:color w:val="000000" w:themeColor="text1"/>
          <w:sz w:val="24"/>
        </w:rPr>
        <w:t>号被保険者の所得段階別被保険者数は、次のとおり推計します。</w:t>
      </w:r>
    </w:p>
    <w:p>
      <w:pPr>
        <w:pStyle w:val="0"/>
        <w:widowControl w:val="1"/>
        <w:snapToGrid w:val="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単位：人</w:t>
      </w:r>
    </w:p>
    <w:tbl>
      <w:tblPr>
        <w:tblStyle w:val="11"/>
        <w:tblW w:w="85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429"/>
        <w:gridCol w:w="1190"/>
        <w:gridCol w:w="1191"/>
        <w:gridCol w:w="1190"/>
        <w:gridCol w:w="1191"/>
        <w:gridCol w:w="1358"/>
      </w:tblGrid>
      <w:tr>
        <w:trPr>
          <w:trHeight w:val="456"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区分</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合計</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w w:val="90"/>
                <w:kern w:val="0"/>
              </w:rPr>
            </w:pPr>
            <w:r>
              <w:rPr>
                <w:rFonts w:hint="eastAsia" w:ascii="メイリオ" w:hAnsi="メイリオ" w:eastAsia="メイリオ"/>
                <w:color w:val="000000" w:themeColor="text1"/>
                <w:w w:val="90"/>
                <w:kern w:val="0"/>
              </w:rPr>
              <w:t>令和６年度</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w w:val="90"/>
                <w:kern w:val="0"/>
              </w:rPr>
            </w:pPr>
            <w:r>
              <w:rPr>
                <w:rFonts w:hint="eastAsia" w:ascii="メイリオ" w:hAnsi="メイリオ" w:eastAsia="メイリオ"/>
                <w:color w:val="000000" w:themeColor="text1"/>
                <w:w w:val="90"/>
                <w:kern w:val="0"/>
              </w:rPr>
              <w:t>令和７年度</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w w:val="90"/>
                <w:kern w:val="0"/>
              </w:rPr>
            </w:pPr>
            <w:r>
              <w:rPr>
                <w:rFonts w:hint="eastAsia" w:ascii="メイリオ" w:hAnsi="メイリオ" w:eastAsia="メイリオ"/>
                <w:color w:val="000000" w:themeColor="text1"/>
                <w:w w:val="90"/>
                <w:kern w:val="0"/>
              </w:rPr>
              <w:t>令和８年度</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pacing w:before="67" w:beforeLines="20" w:beforeAutospacing="0" w:after="67" w:afterLines="20" w:afterAutospacing="0" w:line="24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割合</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（合計）</w:t>
            </w:r>
          </w:p>
        </w:tc>
      </w:tr>
      <w:tr>
        <w:trPr>
          <w:trHeight w:val="668" w:hRule="atLeast"/>
        </w:trPr>
        <w:tc>
          <w:tcPr>
            <w:tcW w:w="2429"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第１段階被保険者数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425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145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142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138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16.7%</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第２段階被保険者数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357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122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119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116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15.3%</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第３段階被保険者数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300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102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101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97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12.1%</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第４段階被保険者数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171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58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57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56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7.2%</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第５段階被保険者数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263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90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88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85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13.3%</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第６段階被保険者数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348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119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116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113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15.0%</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第７段階被保険者数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268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91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90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87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11.2%</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第８段階被保険者数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120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41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40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39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ind w:left="200" w:hanging="200" w:hangingChars="100"/>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5.2%</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第９段階被保険者数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28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10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9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0.9%</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10</w:t>
            </w:r>
            <w:r>
              <w:rPr>
                <w:rFonts w:hint="eastAsia" w:ascii="メイリオ" w:hAnsi="メイリオ" w:eastAsia="メイリオ"/>
                <w:color w:val="000000" w:themeColor="text1"/>
                <w:kern w:val="0"/>
              </w:rPr>
              <w:t>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17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6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6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5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0.9%</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11</w:t>
            </w:r>
            <w:r>
              <w:rPr>
                <w:rFonts w:hint="eastAsia" w:ascii="メイリオ" w:hAnsi="メイリオ" w:eastAsia="メイリオ"/>
                <w:color w:val="000000" w:themeColor="text1"/>
                <w:kern w:val="0"/>
              </w:rPr>
              <w:t>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6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2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2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2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0.4%</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12</w:t>
            </w:r>
            <w:r>
              <w:rPr>
                <w:rFonts w:hint="eastAsia" w:ascii="メイリオ" w:hAnsi="メイリオ" w:eastAsia="メイリオ"/>
                <w:color w:val="000000" w:themeColor="text1"/>
                <w:kern w:val="0"/>
              </w:rPr>
              <w:t>段階被保険者数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9 </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3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3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3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0.3%</w:t>
            </w:r>
          </w:p>
        </w:tc>
      </w:tr>
      <w:tr>
        <w:trPr>
          <w:trHeight w:val="668" w:hRule="atLeast"/>
        </w:trPr>
        <w:tc>
          <w:tcPr>
            <w:tcW w:w="2429"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第</w:t>
            </w:r>
            <w:r>
              <w:rPr>
                <w:rFonts w:hint="eastAsia" w:ascii="メイリオ" w:hAnsi="メイリオ" w:eastAsia="メイリオ"/>
                <w:color w:val="000000" w:themeColor="text1"/>
                <w:kern w:val="0"/>
              </w:rPr>
              <w:t>13</w:t>
            </w:r>
            <w:r>
              <w:rPr>
                <w:rFonts w:hint="eastAsia" w:ascii="メイリオ" w:hAnsi="メイリオ" w:eastAsia="メイリオ"/>
                <w:color w:val="000000" w:themeColor="text1"/>
                <w:kern w:val="0"/>
              </w:rPr>
              <w:t>段階被保険者数</w:t>
            </w:r>
          </w:p>
        </w:tc>
        <w:tc>
          <w:tcPr>
            <w:tcW w:w="1190" w:type="dxa"/>
            <w:tcBorders>
              <w:top w:val="single" w:color="A6A6A6" w:themeColor="background1" w:themeShade="A6" w:sz="4" w:space="0"/>
              <w:left w:val="single" w:color="A6A6A6" w:themeColor="background1" w:themeShade="A6" w:sz="4" w:space="0"/>
              <w:bottom w:val="doub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35 </w:t>
            </w:r>
          </w:p>
        </w:tc>
        <w:tc>
          <w:tcPr>
            <w:tcW w:w="1191" w:type="dxa"/>
            <w:tcBorders>
              <w:top w:val="single" w:color="A6A6A6" w:themeColor="background1" w:themeShade="A6" w:sz="4" w:space="0"/>
              <w:left w:val="double" w:color="A6A6A6" w:themeColor="background1" w:themeShade="A6" w:sz="4" w:space="0"/>
              <w:bottom w:val="doub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12 </w:t>
            </w:r>
          </w:p>
        </w:tc>
        <w:tc>
          <w:tcPr>
            <w:tcW w:w="1190" w:type="dxa"/>
            <w:tcBorders>
              <w:top w:val="single" w:color="A6A6A6" w:themeColor="background1" w:themeShade="A6" w:sz="4" w:space="0"/>
              <w:left w:val="dotted" w:color="A6A6A6" w:themeColor="background1" w:themeShade="A6" w:sz="4" w:space="0"/>
              <w:bottom w:val="doub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12 </w:t>
            </w:r>
          </w:p>
        </w:tc>
        <w:tc>
          <w:tcPr>
            <w:tcW w:w="1191" w:type="dxa"/>
            <w:tcBorders>
              <w:top w:val="single" w:color="A6A6A6" w:themeColor="background1" w:themeShade="A6" w:sz="4" w:space="0"/>
              <w:left w:val="dotted"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 xml:space="preserve">11 </w:t>
            </w:r>
          </w:p>
        </w:tc>
        <w:tc>
          <w:tcPr>
            <w:tcW w:w="1358" w:type="dxa"/>
            <w:tcBorders>
              <w:top w:val="single" w:color="A6A6A6" w:themeColor="background1" w:themeShade="A6" w:sz="4" w:space="0"/>
              <w:left w:val="single" w:color="A6A6A6" w:themeColor="background1" w:themeShade="A6" w:sz="4" w:space="0"/>
              <w:bottom w:val="doub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sz w:val="20"/>
                <w:u w:val="none" w:color="auto"/>
              </w:rPr>
            </w:pPr>
            <w:r>
              <w:rPr>
                <w:rFonts w:hint="eastAsia" w:ascii="メイリオ" w:hAnsi="メイリオ" w:eastAsia="メイリオ"/>
                <w:b w:val="0"/>
                <w:color w:val="000000" w:themeColor="text1"/>
                <w:sz w:val="20"/>
                <w:u w:val="none" w:color="auto"/>
              </w:rPr>
              <w:t>1.5%</w:t>
            </w:r>
          </w:p>
        </w:tc>
      </w:tr>
      <w:tr>
        <w:trPr>
          <w:trHeight w:val="668" w:hRule="atLeast"/>
        </w:trPr>
        <w:tc>
          <w:tcPr>
            <w:tcW w:w="2429" w:type="dxa"/>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合計</w:t>
            </w:r>
          </w:p>
        </w:tc>
        <w:tc>
          <w:tcPr>
            <w:tcW w:w="1190" w:type="dxa"/>
            <w:tcBorders>
              <w:top w:val="doub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2,347 </w:t>
            </w:r>
          </w:p>
        </w:tc>
        <w:tc>
          <w:tcPr>
            <w:tcW w:w="1191" w:type="dxa"/>
            <w:tcBorders>
              <w:top w:val="doub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801 </w:t>
            </w:r>
          </w:p>
        </w:tc>
        <w:tc>
          <w:tcPr>
            <w:tcW w:w="1190" w:type="dxa"/>
            <w:tcBorders>
              <w:top w:val="doub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785 </w:t>
            </w:r>
          </w:p>
        </w:tc>
        <w:tc>
          <w:tcPr>
            <w:tcW w:w="1191" w:type="dxa"/>
            <w:tcBorders>
              <w:top w:val="doub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761 </w:t>
            </w:r>
          </w:p>
        </w:tc>
        <w:tc>
          <w:tcPr>
            <w:tcW w:w="1358" w:type="dxa"/>
            <w:tcBorders>
              <w:top w:val="doub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kern w:val="0"/>
                <w:sz w:val="20"/>
                <w:u w:val="none" w:color="auto"/>
              </w:rPr>
              <w:t>100.0</w:t>
            </w:r>
            <w:r>
              <w:rPr>
                <w:rFonts w:hint="eastAsia" w:ascii="メイリオ" w:hAnsi="メイリオ" w:eastAsia="メイリオ"/>
                <w:b w:val="0"/>
                <w:color w:val="000000" w:themeColor="text1"/>
                <w:kern w:val="0"/>
                <w:sz w:val="20"/>
                <w:u w:val="none" w:color="auto"/>
              </w:rPr>
              <w:t>％</w:t>
            </w:r>
          </w:p>
        </w:tc>
      </w:tr>
      <w:tr>
        <w:trPr>
          <w:trHeight w:val="668" w:hRule="atLeast"/>
        </w:trPr>
        <w:tc>
          <w:tcPr>
            <w:tcW w:w="242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所得段階別加入割合</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補正後被保険者数</w:t>
            </w:r>
          </w:p>
        </w:tc>
        <w:tc>
          <w:tcPr>
            <w:tcW w:w="1190" w:type="dxa"/>
            <w:tcBorders>
              <w:top w:val="single" w:color="A6A6A6" w:themeColor="background1" w:themeShade="A6" w:sz="4" w:space="0"/>
              <w:left w:val="single" w:color="A6A6A6" w:themeColor="background1" w:themeShade="A6" w:sz="4" w:space="0"/>
              <w:bottom w:val="single" w:color="A6A6A6" w:themeColor="background1" w:themeShade="A6" w:sz="4" w:space="0"/>
              <w:right w:val="doub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2,205</w:t>
            </w:r>
          </w:p>
        </w:tc>
        <w:tc>
          <w:tcPr>
            <w:tcW w:w="1191" w:type="dxa"/>
            <w:tcBorders>
              <w:top w:val="single" w:color="A6A6A6" w:themeColor="background1" w:themeShade="A6" w:sz="4" w:space="0"/>
              <w:left w:val="doub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753 </w:t>
            </w:r>
          </w:p>
        </w:tc>
        <w:tc>
          <w:tcPr>
            <w:tcW w:w="1190" w:type="dxa"/>
            <w:tcBorders>
              <w:top w:val="single" w:color="A6A6A6" w:themeColor="background1" w:themeShade="A6" w:sz="4" w:space="0"/>
              <w:left w:val="dotted"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738 </w:t>
            </w:r>
          </w:p>
        </w:tc>
        <w:tc>
          <w:tcPr>
            <w:tcW w:w="1191"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r>
              <w:rPr>
                <w:rFonts w:hint="eastAsia" w:ascii="メイリオ" w:hAnsi="メイリオ" w:eastAsia="メイリオ"/>
                <w:b w:val="0"/>
                <w:color w:val="000000" w:themeColor="text1"/>
                <w:sz w:val="20"/>
                <w:u w:val="none" w:color="auto"/>
              </w:rPr>
              <w:t xml:space="preserve">714 </w:t>
            </w:r>
          </w:p>
        </w:tc>
        <w:tc>
          <w:tcPr>
            <w:tcW w:w="135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single" w:color="A6A6A6" w:themeColor="background1" w:themeShade="A6" w:sz="4" w:space="0"/>
              <w:tr2bl w:val="none" w:color="auto" w:sz="0" w:space="0"/>
            </w:tcBorders>
            <w:shd w:val="clear" w:color="auto" w:fill="auto"/>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0"/>
                <w:color w:val="000000" w:themeColor="text1"/>
                <w:kern w:val="0"/>
                <w:sz w:val="20"/>
                <w:u w:val="none" w:color="auto"/>
              </w:rPr>
            </w:pP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b w:val="1"/>
          <w:color w:val="000000" w:themeColor="text1"/>
          <w:sz w:val="24"/>
        </w:rPr>
      </w:pPr>
      <w:r>
        <w:rPr>
          <w:rFonts w:hint="default"/>
          <w:color w:val="000000" w:themeColor="text1"/>
        </w:rPr>
        <w:br w:type="page"/>
      </w:r>
    </w:p>
    <w:p>
      <w:pPr>
        <w:pStyle w:val="40"/>
        <w:rPr>
          <w:rFonts w:hint="default"/>
          <w:color w:val="000000" w:themeColor="text1"/>
        </w:rPr>
      </w:pPr>
      <w:r>
        <w:rPr>
          <w:rFonts w:hint="eastAsia"/>
          <w:color w:val="000000" w:themeColor="text1"/>
        </w:rPr>
        <w:t>７　介護保険料基準額の算出</w:t>
      </w:r>
      <w:r>
        <w:rPr>
          <w:rFonts w:hint="default"/>
          <w:color w:val="000000" w:themeColor="text1"/>
        </w:rPr>
        <w:tab/>
      </w:r>
    </w:p>
    <w:p>
      <w:pPr>
        <w:pStyle w:val="40"/>
        <w:rPr>
          <w:rFonts w:hint="default"/>
          <w:b w:val="0"/>
          <w:color w:val="000000" w:themeColor="text1"/>
        </w:rPr>
      </w:pPr>
      <w:r>
        <w:rPr>
          <w:rFonts w:hint="eastAsia"/>
          <w:b w:val="0"/>
          <w:color w:val="000000" w:themeColor="text1"/>
        </w:rPr>
        <w:t>　第</w:t>
      </w:r>
      <w:r>
        <w:rPr>
          <w:rFonts w:hint="eastAsia"/>
          <w:b w:val="0"/>
          <w:color w:val="000000" w:themeColor="text1"/>
        </w:rPr>
        <w:t>9</w:t>
      </w:r>
      <w:r>
        <w:rPr>
          <w:rFonts w:hint="eastAsia"/>
          <w:b w:val="0"/>
          <w:color w:val="000000" w:themeColor="text1"/>
        </w:rPr>
        <w:t>期介護保険料基準額は以下のように算出します。</w:t>
      </w:r>
    </w:p>
    <w:p>
      <w:pPr>
        <w:pStyle w:val="40"/>
        <w:rPr>
          <w:rFonts w:hint="default"/>
          <w:b w:val="0"/>
          <w:color w:val="000000" w:themeColor="text1"/>
        </w:rPr>
      </w:pPr>
      <w:r>
        <w:rPr>
          <w:rFonts w:hint="eastAsia"/>
          <w:b w:val="0"/>
          <w:color w:val="000000" w:themeColor="text1"/>
        </w:rPr>
        <w:t>　調整交付金とは、保険者ごとの介護保険財政の調整を行うため、全国ベースで標準給付費見込額の５％相当分を交付する仕組みです。第</w:t>
      </w:r>
      <w:r>
        <w:rPr>
          <w:rFonts w:hint="eastAsia"/>
          <w:b w:val="0"/>
          <w:color w:val="000000" w:themeColor="text1"/>
        </w:rPr>
        <w:t>1</w:t>
      </w:r>
      <w:r>
        <w:rPr>
          <w:rFonts w:hint="eastAsia"/>
          <w:b w:val="0"/>
          <w:color w:val="000000" w:themeColor="text1"/>
        </w:rPr>
        <w:t>号被保険者に占める後期高齢者の割合（後期高齢者加入割合補正係数）及び所得段階別被保険者割合（所得段階別加入割合補正係数）の全国平均との格差に基づいて、交付割合が保険者ごとに補正されています。</w:t>
      </w:r>
    </w:p>
    <w:p>
      <w:pPr>
        <w:pStyle w:val="0"/>
        <w:widowControl w:val="1"/>
        <w:snapToGrid w:val="0"/>
        <w:jc w:val="righ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単位：円</w:t>
      </w:r>
    </w:p>
    <w:tbl>
      <w:tblPr>
        <w:tblStyle w:val="11"/>
        <w:tblW w:w="84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80"/>
        <w:gridCol w:w="2170"/>
        <w:gridCol w:w="1452"/>
        <w:gridCol w:w="1453"/>
        <w:gridCol w:w="1453"/>
        <w:gridCol w:w="1525"/>
      </w:tblGrid>
      <w:tr>
        <w:trPr>
          <w:trHeight w:val="632" w:hRule="atLeast"/>
        </w:trPr>
        <w:tc>
          <w:tcPr>
            <w:tcW w:w="2550" w:type="dxa"/>
            <w:gridSpan w:val="2"/>
            <w:tcBorders>
              <w:top w:val="single" w:color="A6A6A6" w:themeColor="background1" w:themeShade="A6" w:sz="4"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項目</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合計</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令和６年度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w:t>
            </w:r>
            <w:r>
              <w:rPr>
                <w:rFonts w:hint="eastAsia" w:ascii="メイリオ" w:hAnsi="メイリオ" w:eastAsia="メイリオ"/>
                <w:color w:val="000000" w:themeColor="text1"/>
                <w:kern w:val="0"/>
                <w:sz w:val="18"/>
              </w:rPr>
              <w:t>2024</w:t>
            </w:r>
            <w:r>
              <w:rPr>
                <w:rFonts w:hint="eastAsia" w:ascii="メイリオ" w:hAnsi="メイリオ" w:eastAsia="メイリオ"/>
                <w:color w:val="000000" w:themeColor="text1"/>
                <w:kern w:val="0"/>
                <w:sz w:val="18"/>
              </w:rPr>
              <w:t>年度）</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令和７年度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w:t>
            </w:r>
            <w:r>
              <w:rPr>
                <w:rFonts w:hint="eastAsia" w:ascii="メイリオ" w:hAnsi="メイリオ" w:eastAsia="メイリオ"/>
                <w:color w:val="000000" w:themeColor="text1"/>
                <w:kern w:val="0"/>
                <w:sz w:val="18"/>
              </w:rPr>
              <w:t>2025</w:t>
            </w:r>
            <w:r>
              <w:rPr>
                <w:rFonts w:hint="eastAsia" w:ascii="メイリオ" w:hAnsi="メイリオ" w:eastAsia="メイリオ"/>
                <w:color w:val="000000" w:themeColor="text1"/>
                <w:kern w:val="0"/>
                <w:sz w:val="18"/>
              </w:rPr>
              <w:t>年度）</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snapToGrid w:val="0"/>
              <w:spacing w:before="33" w:beforeLines="10" w:beforeAutospacing="0" w:after="33" w:afterLines="10" w:afterAutospacing="0" w:line="260" w:lineRule="exact"/>
              <w:jc w:val="center"/>
              <w:rPr>
                <w:rFonts w:hint="default" w:ascii="メイリオ" w:hAnsi="メイリオ" w:eastAsia="メイリオ"/>
                <w:color w:val="000000" w:themeColor="text1"/>
                <w:kern w:val="0"/>
                <w:sz w:val="18"/>
              </w:rPr>
            </w:pPr>
            <w:r>
              <w:rPr>
                <w:rFonts w:hint="eastAsia" w:ascii="メイリオ" w:hAnsi="メイリオ" w:eastAsia="メイリオ"/>
                <w:color w:val="000000" w:themeColor="text1"/>
                <w:kern w:val="0"/>
                <w:sz w:val="18"/>
              </w:rPr>
              <w:t>令和８年度</w:t>
            </w:r>
            <w:r>
              <w:rPr>
                <w:rFonts w:hint="eastAsia" w:ascii="メイリオ" w:hAnsi="メイリオ" w:eastAsia="メイリオ"/>
                <w:color w:val="000000" w:themeColor="text1"/>
                <w:kern w:val="0"/>
                <w:sz w:val="18"/>
              </w:rPr>
              <w:br w:type="textWrapping" w:clear="none"/>
            </w:r>
            <w:r>
              <w:rPr>
                <w:rFonts w:hint="eastAsia" w:ascii="メイリオ" w:hAnsi="メイリオ" w:eastAsia="メイリオ"/>
                <w:color w:val="000000" w:themeColor="text1"/>
                <w:kern w:val="0"/>
                <w:sz w:val="18"/>
              </w:rPr>
              <w:t>（</w:t>
            </w:r>
            <w:r>
              <w:rPr>
                <w:rFonts w:hint="eastAsia" w:ascii="メイリオ" w:hAnsi="メイリオ" w:eastAsia="メイリオ"/>
                <w:color w:val="000000" w:themeColor="text1"/>
                <w:kern w:val="0"/>
                <w:sz w:val="18"/>
              </w:rPr>
              <w:t>2026</w:t>
            </w:r>
            <w:r>
              <w:rPr>
                <w:rFonts w:hint="eastAsia" w:ascii="メイリオ" w:hAnsi="メイリオ" w:eastAsia="メイリオ"/>
                <w:color w:val="000000" w:themeColor="text1"/>
                <w:kern w:val="0"/>
                <w:sz w:val="18"/>
              </w:rPr>
              <w:t>年度）</w:t>
            </w:r>
          </w:p>
        </w:tc>
      </w:tr>
      <w:tr>
        <w:trPr>
          <w:trHeight w:val="565" w:hRule="atLeast"/>
        </w:trPr>
        <w:tc>
          <w:tcPr>
            <w:tcW w:w="2550" w:type="dxa"/>
            <w:gridSpan w:val="2"/>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w w:val="90"/>
                <w:sz w:val="16"/>
              </w:rPr>
            </w:pPr>
            <w:r>
              <w:rPr>
                <w:rFonts w:hint="eastAsia" w:ascii="メイリオ" w:hAnsi="メイリオ" w:eastAsia="メイリオ"/>
                <w:color w:val="000000" w:themeColor="text1"/>
                <w:sz w:val="18"/>
              </w:rPr>
              <w:t>標準給付費見込額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883,550,666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295,744,198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294,436,237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293,322,231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w w:val="90"/>
                <w:sz w:val="16"/>
              </w:rPr>
            </w:pPr>
            <w:r>
              <w:rPr>
                <w:rFonts w:hint="eastAsia" w:ascii="メイリオ" w:hAnsi="メイリオ" w:eastAsia="メイリオ"/>
                <w:color w:val="000000" w:themeColor="text1"/>
                <w:sz w:val="18"/>
              </w:rPr>
              <w:t>地域支援事業費見込</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46,410,000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15,470,000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第１号被保険者負担分</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相当額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213,890,953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72,927,296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70,569,345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70,394,313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調整交付金相当額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45,223,033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15,438,760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14,916,162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14,878,112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調整交付金見込額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75,681,000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27,741,000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24,373,000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23,567,000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調整交付金見込交付割</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8.99%</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8.17%</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7.92%</w:t>
            </w:r>
          </w:p>
        </w:tc>
      </w:tr>
      <w:tr>
        <w:trPr>
          <w:trHeight w:val="565" w:hRule="atLeast"/>
        </w:trPr>
        <w:tc>
          <w:tcPr>
            <w:tcW w:w="380" w:type="dxa"/>
            <w:tcBorders>
              <w:top w:val="nil"/>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p>
        </w:tc>
        <w:tc>
          <w:tcPr>
            <w:tcW w:w="2170" w:type="dxa"/>
            <w:tcBorders>
              <w:top w:val="single" w:color="A6A6A6" w:themeColor="background1" w:themeShade="A6" w:sz="4" w:space="0"/>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後期高齢者加入割合</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補正係数</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0.8787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0.9160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0.9289 </w:t>
            </w:r>
          </w:p>
        </w:tc>
      </w:tr>
      <w:tr>
        <w:trPr>
          <w:trHeight w:val="565" w:hRule="atLeast"/>
        </w:trPr>
        <w:tc>
          <w:tcPr>
            <w:tcW w:w="380"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p>
        </w:tc>
        <w:tc>
          <w:tcPr>
            <w:tcW w:w="217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所得段階別加入割合</w:t>
            </w:r>
            <w:r>
              <w:rPr>
                <w:rFonts w:hint="eastAsia" w:ascii="メイリオ" w:hAnsi="メイリオ" w:eastAsia="メイリオ"/>
                <w:color w:val="000000" w:themeColor="text1"/>
                <w:sz w:val="18"/>
              </w:rPr>
              <w:br w:type="textWrapping" w:clear="none"/>
            </w:r>
            <w:r>
              <w:rPr>
                <w:rFonts w:hint="eastAsia" w:ascii="メイリオ" w:hAnsi="メイリオ" w:eastAsia="メイリオ"/>
                <w:color w:val="000000" w:themeColor="text1"/>
                <w:sz w:val="18"/>
              </w:rPr>
              <w:t>補正係数</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0.9405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0.9412 </w:t>
            </w: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0.9398 </w:t>
            </w: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保険料収納必要額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165,789,646</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予定保険料収納率</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98.2</w:t>
            </w:r>
            <w:r>
              <w:rPr>
                <w:rFonts w:hint="eastAsia" w:ascii="メイリオ" w:hAnsi="メイリオ" w:eastAsia="メイリオ"/>
                <w:color w:val="000000" w:themeColor="text1"/>
                <w:sz w:val="18"/>
              </w:rPr>
              <w:t>％</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r>
        <w:trPr>
          <w:trHeight w:val="565" w:hRule="atLeast"/>
        </w:trPr>
        <w:tc>
          <w:tcPr>
            <w:tcW w:w="2550" w:type="dxa"/>
            <w:gridSpan w:val="2"/>
            <w:tcBorders>
              <w:top w:val="single" w:color="A6A6A6" w:themeColor="background1" w:themeShade="A6" w:sz="4" w:space="0"/>
              <w:left w:val="single" w:color="A6A6A6" w:themeColor="background1" w:themeShade="A6" w:sz="6"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準備基金取崩額の影響額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621</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r>
        <w:trPr>
          <w:trHeight w:val="565" w:hRule="atLeast"/>
        </w:trPr>
        <w:tc>
          <w:tcPr>
            <w:tcW w:w="380"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p>
        </w:tc>
        <w:tc>
          <w:tcPr>
            <w:tcW w:w="217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準備基金の残高</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16,143,340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r>
        <w:trPr>
          <w:trHeight w:val="565" w:hRule="atLeast"/>
        </w:trPr>
        <w:tc>
          <w:tcPr>
            <w:tcW w:w="380" w:type="dxa"/>
            <w:tcBorders>
              <w:top w:val="nil"/>
              <w:left w:val="single" w:color="A6A6A6" w:themeColor="background1" w:themeShade="A6" w:sz="4" w:space="0"/>
              <w:bottom w:val="nil"/>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p>
        </w:tc>
        <w:tc>
          <w:tcPr>
            <w:tcW w:w="217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準備基金取崩額</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 xml:space="preserve">16,143,340 </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r>
        <w:trPr>
          <w:trHeight w:val="565" w:hRule="atLeast"/>
        </w:trPr>
        <w:tc>
          <w:tcPr>
            <w:tcW w:w="380" w:type="dxa"/>
            <w:tcBorders>
              <w:top w:val="nil"/>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p>
        </w:tc>
        <w:tc>
          <w:tcPr>
            <w:tcW w:w="217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準備基金取崩割合</w:t>
            </w:r>
          </w:p>
        </w:tc>
        <w:tc>
          <w:tcPr>
            <w:tcW w:w="145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r>
              <w:rPr>
                <w:rFonts w:hint="eastAsia" w:ascii="メイリオ" w:hAnsi="メイリオ" w:eastAsia="メイリオ"/>
                <w:color w:val="000000" w:themeColor="text1"/>
                <w:sz w:val="18"/>
              </w:rPr>
              <w:t>100.0</w:t>
            </w:r>
            <w:r>
              <w:rPr>
                <w:rFonts w:hint="eastAsia" w:ascii="メイリオ" w:hAnsi="メイリオ" w:eastAsia="メイリオ"/>
                <w:color w:val="000000" w:themeColor="text1"/>
                <w:sz w:val="18"/>
              </w:rPr>
              <w:t>％</w:t>
            </w: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45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c>
          <w:tcPr>
            <w:tcW w:w="152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single" w:color="A6A6A6" w:themeColor="background1" w:themeShade="A6" w:sz="4" w:space="0"/>
            </w:tcBorders>
            <w:shd w:val="clear" w:color="auto" w:fill="auto"/>
            <w:vAlign w:val="center"/>
          </w:tcPr>
          <w:p>
            <w:pPr>
              <w:pStyle w:val="0"/>
              <w:spacing w:line="240" w:lineRule="exact"/>
              <w:jc w:val="right"/>
              <w:rPr>
                <w:rFonts w:hint="default" w:ascii="メイリオ" w:hAnsi="メイリオ" w:eastAsia="メイリオ"/>
                <w:color w:val="000000" w:themeColor="text1"/>
                <w:sz w:val="18"/>
              </w:rPr>
            </w:pPr>
          </w:p>
        </w:tc>
      </w:tr>
    </w:tbl>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８　所得段階別介護保険料</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以上の条件を踏まえて算出した所得段階別介護保険料は、次のとおりです。</w:t>
      </w:r>
    </w:p>
    <w:p>
      <w:pPr>
        <w:pStyle w:val="0"/>
        <w:widowControl w:val="1"/>
        <w:snapToGrid w:val="0"/>
        <w:spacing w:line="120" w:lineRule="auto"/>
        <w:jc w:val="left"/>
        <w:rPr>
          <w:rFonts w:hint="default" w:ascii="メイリオ" w:hAnsi="メイリオ" w:eastAsia="メイリオ"/>
          <w:color w:val="000000" w:themeColor="text1"/>
          <w:sz w:val="24"/>
        </w:rPr>
      </w:pPr>
    </w:p>
    <w:tbl>
      <w:tblPr>
        <w:tblStyle w:val="11"/>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2255"/>
        <w:gridCol w:w="3060"/>
        <w:gridCol w:w="3126"/>
      </w:tblGrid>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所得段階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保険料額（月額）</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保険料額（年額）</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第１段階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2,903</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1,818</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34,835</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21,820</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第２段階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4,370</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3,094</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52,444</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37,132</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第３段階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4,402</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4,370</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52,826</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（軽減後：</w:t>
            </w:r>
            <w:r>
              <w:rPr>
                <w:rFonts w:hint="eastAsia" w:ascii="メイリオ" w:hAnsi="メイリオ" w:eastAsia="メイリオ"/>
                <w:color w:val="000000" w:themeColor="text1"/>
              </w:rPr>
              <w:t>52,444</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第４段階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5,742</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68,904</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第５段階</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（基準）</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6,380</w:t>
            </w:r>
            <w:r>
              <w:rPr>
                <w:rFonts w:hint="eastAsia" w:ascii="メイリオ" w:hAnsi="メイリオ" w:eastAsia="メイリオ"/>
                <w:color w:val="000000" w:themeColor="text1"/>
              </w:rPr>
              <w:t>円</w:t>
            </w:r>
          </w:p>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（基準額）</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76,560</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第６段階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7,656</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91,872</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第７段階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8,294</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99,528</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第８段階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9,570</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114,840</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第９段階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10,846</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130,</w:t>
            </w:r>
            <w:r>
              <w:rPr>
                <w:rFonts w:hint="default" w:ascii="メイリオ" w:hAnsi="メイリオ" w:eastAsia="メイリオ"/>
                <w:color w:val="000000" w:themeColor="text1"/>
              </w:rPr>
              <w:t>152</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10</w:t>
            </w:r>
            <w:r>
              <w:rPr>
                <w:rFonts w:hint="eastAsia" w:ascii="メイリオ" w:hAnsi="メイリオ" w:eastAsia="メイリオ"/>
                <w:color w:val="000000" w:themeColor="text1"/>
              </w:rPr>
              <w:t>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12,122</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145,464</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11</w:t>
            </w:r>
            <w:r>
              <w:rPr>
                <w:rFonts w:hint="eastAsia" w:ascii="メイリオ" w:hAnsi="メイリオ" w:eastAsia="メイリオ"/>
                <w:color w:val="000000" w:themeColor="text1"/>
              </w:rPr>
              <w:t>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13,398</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160,776</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12</w:t>
            </w:r>
            <w:r>
              <w:rPr>
                <w:rFonts w:hint="eastAsia" w:ascii="メイリオ" w:hAnsi="メイリオ" w:eastAsia="メイリオ"/>
                <w:color w:val="000000" w:themeColor="text1"/>
              </w:rPr>
              <w:t>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14,674</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176,088</w:t>
            </w:r>
            <w:r>
              <w:rPr>
                <w:rFonts w:hint="eastAsia" w:ascii="メイリオ" w:hAnsi="メイリオ" w:eastAsia="メイリオ"/>
                <w:color w:val="000000" w:themeColor="text1"/>
              </w:rPr>
              <w:t>円</w:t>
            </w:r>
          </w:p>
        </w:tc>
      </w:tr>
      <w:tr>
        <w:trPr>
          <w:trHeight w:val="750" w:hRule="atLeast"/>
        </w:trPr>
        <w:tc>
          <w:tcPr>
            <w:tcW w:w="225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第</w:t>
            </w:r>
            <w:r>
              <w:rPr>
                <w:rFonts w:hint="eastAsia" w:ascii="メイリオ" w:hAnsi="メイリオ" w:eastAsia="メイリオ"/>
                <w:color w:val="000000" w:themeColor="text1"/>
              </w:rPr>
              <w:t>13</w:t>
            </w:r>
            <w:r>
              <w:rPr>
                <w:rFonts w:hint="eastAsia" w:ascii="メイリオ" w:hAnsi="メイリオ" w:eastAsia="メイリオ"/>
                <w:color w:val="000000" w:themeColor="text1"/>
              </w:rPr>
              <w:t>段階</w:t>
            </w:r>
          </w:p>
        </w:tc>
        <w:tc>
          <w:tcPr>
            <w:tcW w:w="3060" w:type="dxa"/>
            <w:tcBorders>
              <w:top w:val="single" w:color="A6A6A6" w:themeColor="background1" w:themeShade="A6" w:sz="4" w:space="0"/>
              <w:left w:val="single" w:color="A6A6A6" w:themeColor="background1" w:themeShade="A6" w:sz="4" w:space="0"/>
              <w:bottom w:val="single" w:color="A6A6A6" w:themeColor="background1" w:themeShade="A6" w:sz="4" w:space="0"/>
              <w:right w:val="dotted"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15,312</w:t>
            </w:r>
            <w:r>
              <w:rPr>
                <w:rFonts w:hint="eastAsia" w:ascii="メイリオ" w:hAnsi="メイリオ" w:eastAsia="メイリオ"/>
                <w:color w:val="000000" w:themeColor="text1"/>
              </w:rPr>
              <w:t>円</w:t>
            </w:r>
          </w:p>
        </w:tc>
        <w:tc>
          <w:tcPr>
            <w:tcW w:w="3126" w:type="dxa"/>
            <w:tcBorders>
              <w:top w:val="single" w:color="A6A6A6" w:themeColor="background1" w:themeShade="A6" w:sz="4" w:space="0"/>
              <w:left w:val="dotted"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40" w:lineRule="exact"/>
              <w:jc w:val="center"/>
              <w:rPr>
                <w:rFonts w:hint="default" w:ascii="メイリオ" w:hAnsi="メイリオ" w:eastAsia="メイリオ"/>
                <w:color w:val="000000" w:themeColor="text1"/>
              </w:rPr>
            </w:pPr>
            <w:r>
              <w:rPr>
                <w:rFonts w:hint="eastAsia" w:ascii="メイリオ" w:hAnsi="メイリオ" w:eastAsia="メイリオ"/>
                <w:color w:val="000000" w:themeColor="text1"/>
              </w:rPr>
              <w:t>183,744</w:t>
            </w:r>
            <w:r>
              <w:rPr>
                <w:rFonts w:hint="eastAsia" w:ascii="メイリオ" w:hAnsi="メイリオ" w:eastAsia="メイリオ"/>
                <w:color w:val="000000" w:themeColor="text1"/>
              </w:rPr>
              <w:t>円</w:t>
            </w:r>
          </w:p>
        </w:tc>
      </w:tr>
    </w:tbl>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９　低所得者の支援策</w:t>
      </w:r>
      <w:r>
        <w:rPr>
          <w:rFonts w:hint="default"/>
          <w:color w:val="000000" w:themeColor="text1"/>
        </w:rPr>
        <w:tab/>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（１）保険料率の段階区分</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介護保険料は、被保険者及びその世帯の住民税課税状況に応じて、</w:t>
      </w:r>
      <w:r>
        <w:rPr>
          <w:rFonts w:hint="eastAsia" w:ascii="メイリオ" w:hAnsi="メイリオ" w:eastAsia="メイリオ"/>
          <w:color w:val="000000" w:themeColor="text1"/>
          <w:sz w:val="24"/>
        </w:rPr>
        <w:t>13</w:t>
      </w:r>
      <w:r>
        <w:rPr>
          <w:rFonts w:hint="eastAsia" w:ascii="メイリオ" w:hAnsi="メイリオ" w:eastAsia="メイリオ"/>
          <w:color w:val="000000" w:themeColor="text1"/>
          <w:sz w:val="24"/>
        </w:rPr>
        <w:t>段階に設定しています。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（２）介護保険料の減免</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災害等の特別な事情により、一時的に介護保険料の負担能力の低下が認められるような場合は、介護保険料の減免あるいは徴収を一時猶予されます。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（３）介護保険負担限度額の認定</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住民税非課税世帯等の低所得者（利用者負担が第１･第２･第３段階）に該当する方は、介護保険施設、短期入所サービス及び地域密着型介護老人福祉施設の利用における食費・居住費（滞在費）等の負担について限度額が設定され、限度額を超える分は特定入所者介護（予防）サービス費として補足給付され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（４）高額介護（予防）サービス費の支給</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自己負担が、一定の上限額を超えた時は、超えた分を高額介護（予防）サービス費として支給されます。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また、所得によってその上限が減額され、負担が重くなりすぎないような仕組みになっています（ただし、居住費･食費･日常生活費等は含まれません）。</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（５）高額医療合算介護（予防）サービス費の支給</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介護保険と医療保険の１年間の自己負担額の合計が、限度額を超えた時は、超えた分を高額医療合算介護（予防）サービス費として支給されます。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（６）社会福祉法人等による利用者負担軽減</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社会福祉法人が運営している特別養護老人ホーム等のサービスについて、法人が特に生計維持することが困難な低所得者に対して利用者負担を軽減した場合に、町がその費用の一部を公費で補う制度です。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10</w:t>
      </w:r>
      <w:r>
        <w:rPr>
          <w:rFonts w:hint="eastAsia"/>
          <w:color w:val="000000" w:themeColor="text1"/>
        </w:rPr>
        <w:t>　中長期的な推計</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期計画年度中に団塊の世代が</w:t>
      </w:r>
      <w:r>
        <w:rPr>
          <w:rFonts w:hint="default" w:ascii="メイリオ" w:hAnsi="メイリオ" w:eastAsia="メイリオ"/>
          <w:color w:val="000000" w:themeColor="text1"/>
          <w:sz w:val="24"/>
        </w:rPr>
        <w:t>75</w:t>
      </w:r>
      <w:r>
        <w:rPr>
          <w:rFonts w:hint="default" w:ascii="メイリオ" w:hAnsi="メイリオ" w:eastAsia="メイリオ"/>
          <w:color w:val="000000" w:themeColor="text1"/>
          <w:sz w:val="24"/>
        </w:rPr>
        <w:t>歳</w:t>
      </w:r>
      <w:r>
        <w:rPr>
          <w:rFonts w:hint="eastAsia" w:ascii="メイリオ" w:hAnsi="メイリオ" w:eastAsia="メイリオ"/>
          <w:color w:val="000000" w:themeColor="text1"/>
          <w:sz w:val="24"/>
        </w:rPr>
        <w:t>となる</w:t>
      </w:r>
      <w:r>
        <w:rPr>
          <w:rFonts w:hint="default" w:ascii="メイリオ" w:hAnsi="メイリオ" w:eastAsia="メイリオ"/>
          <w:color w:val="000000" w:themeColor="text1"/>
          <w:sz w:val="24"/>
        </w:rPr>
        <w:t>令和７（</w:t>
      </w:r>
      <w:r>
        <w:rPr>
          <w:rFonts w:hint="default" w:ascii="メイリオ" w:hAnsi="メイリオ" w:eastAsia="メイリオ"/>
          <w:color w:val="000000" w:themeColor="text1"/>
          <w:sz w:val="24"/>
        </w:rPr>
        <w:t>2025</w:t>
      </w:r>
      <w:r>
        <w:rPr>
          <w:rFonts w:hint="default" w:ascii="メイリオ" w:hAnsi="メイリオ" w:eastAsia="メイリオ"/>
          <w:color w:val="000000" w:themeColor="text1"/>
          <w:sz w:val="24"/>
        </w:rPr>
        <w:t>）年</w:t>
      </w:r>
      <w:r>
        <w:rPr>
          <w:rFonts w:hint="eastAsia" w:ascii="メイリオ" w:hAnsi="メイリオ" w:eastAsia="メイリオ"/>
          <w:color w:val="000000" w:themeColor="text1"/>
          <w:sz w:val="24"/>
        </w:rPr>
        <w:t>を迎え、</w:t>
      </w:r>
      <w:r>
        <w:rPr>
          <w:rFonts w:hint="default" w:ascii="メイリオ" w:hAnsi="メイリオ" w:eastAsia="メイリオ"/>
          <w:color w:val="000000" w:themeColor="text1"/>
          <w:sz w:val="24"/>
        </w:rPr>
        <w:t>高齢者人口</w:t>
      </w:r>
      <w:r>
        <w:rPr>
          <w:rFonts w:hint="eastAsia" w:ascii="メイリオ" w:hAnsi="メイリオ" w:eastAsia="メイリオ"/>
          <w:color w:val="000000" w:themeColor="text1"/>
          <w:sz w:val="24"/>
        </w:rPr>
        <w:t>が</w:t>
      </w:r>
      <w:r>
        <w:rPr>
          <w:rFonts w:hint="default" w:ascii="メイリオ" w:hAnsi="メイリオ" w:eastAsia="メイリオ"/>
          <w:color w:val="000000" w:themeColor="text1"/>
          <w:sz w:val="24"/>
        </w:rPr>
        <w:t>ピーク</w:t>
      </w:r>
      <w:r>
        <w:rPr>
          <w:rFonts w:hint="eastAsia" w:ascii="メイリオ" w:hAnsi="メイリオ" w:eastAsia="メイリオ"/>
          <w:color w:val="000000" w:themeColor="text1"/>
          <w:sz w:val="24"/>
        </w:rPr>
        <w:t>になります。さらに</w:t>
      </w:r>
      <w:r>
        <w:rPr>
          <w:rFonts w:hint="default" w:ascii="メイリオ" w:hAnsi="メイリオ" w:eastAsia="メイリオ"/>
          <w:color w:val="000000" w:themeColor="text1"/>
          <w:sz w:val="24"/>
        </w:rPr>
        <w:t>団塊ジュニア世代が後期高齢者となる令和</w:t>
      </w:r>
      <w:r>
        <w:rPr>
          <w:rFonts w:hint="default" w:ascii="メイリオ" w:hAnsi="メイリオ" w:eastAsia="メイリオ"/>
          <w:color w:val="000000" w:themeColor="text1"/>
          <w:sz w:val="24"/>
        </w:rPr>
        <w:t>22</w:t>
      </w:r>
      <w:r>
        <w:rPr>
          <w:rFonts w:hint="default" w:ascii="メイリオ" w:hAnsi="メイリオ" w:eastAsia="メイリオ"/>
          <w:color w:val="000000" w:themeColor="text1"/>
          <w:sz w:val="24"/>
        </w:rPr>
        <w:t>（</w:t>
      </w:r>
      <w:r>
        <w:rPr>
          <w:rFonts w:hint="default" w:ascii="メイリオ" w:hAnsi="メイリオ" w:eastAsia="メイリオ"/>
          <w:color w:val="000000" w:themeColor="text1"/>
          <w:sz w:val="24"/>
        </w:rPr>
        <w:t>2040</w:t>
      </w:r>
      <w:r>
        <w:rPr>
          <w:rFonts w:hint="default" w:ascii="メイリオ" w:hAnsi="メイリオ" w:eastAsia="メイリオ"/>
          <w:color w:val="000000" w:themeColor="text1"/>
          <w:sz w:val="24"/>
        </w:rPr>
        <w:t>）年</w:t>
      </w:r>
      <w:r>
        <w:rPr>
          <w:rFonts w:hint="eastAsia" w:ascii="メイリオ" w:hAnsi="メイリオ" w:eastAsia="メイリオ"/>
          <w:color w:val="000000" w:themeColor="text1"/>
          <w:sz w:val="24"/>
        </w:rPr>
        <w:t>に向けて、</w:t>
      </w:r>
      <w:r>
        <w:rPr>
          <w:rFonts w:hint="default" w:ascii="メイリオ" w:hAnsi="メイリオ" w:eastAsia="メイリオ"/>
          <w:color w:val="000000" w:themeColor="text1"/>
          <w:sz w:val="24"/>
        </w:rPr>
        <w:t>要介護認定者及び保険給付費も増大すると見込まれます。</w:t>
      </w:r>
      <w:r>
        <w:rPr>
          <w:rFonts w:hint="eastAsia" w:ascii="メイリオ" w:hAnsi="メイリオ" w:eastAsia="メイリオ"/>
          <w:color w:val="000000" w:themeColor="text1"/>
          <w:sz w:val="24"/>
        </w:rPr>
        <w:t>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期後の令和</w:t>
      </w:r>
      <w:r>
        <w:rPr>
          <w:rFonts w:hint="eastAsia" w:ascii="メイリオ" w:hAnsi="メイリオ" w:eastAsia="メイリオ"/>
          <w:color w:val="000000" w:themeColor="text1"/>
          <w:sz w:val="24"/>
        </w:rPr>
        <w:t>12</w:t>
      </w:r>
      <w:r>
        <w:rPr>
          <w:rFonts w:hint="eastAsia" w:ascii="メイリオ" w:hAnsi="メイリオ" w:eastAsia="メイリオ"/>
          <w:color w:val="000000" w:themeColor="text1"/>
          <w:sz w:val="24"/>
        </w:rPr>
        <w:t>年度、および令和</w:t>
      </w:r>
      <w:r>
        <w:rPr>
          <w:rFonts w:hint="eastAsia" w:ascii="メイリオ" w:hAnsi="メイリオ" w:eastAsia="メイリオ"/>
          <w:color w:val="000000" w:themeColor="text1"/>
          <w:sz w:val="24"/>
        </w:rPr>
        <w:t>22</w:t>
      </w:r>
      <w:r>
        <w:rPr>
          <w:rFonts w:hint="eastAsia" w:ascii="メイリオ" w:hAnsi="メイリオ" w:eastAsia="メイリオ"/>
          <w:color w:val="000000" w:themeColor="text1"/>
          <w:sz w:val="24"/>
        </w:rPr>
        <w:t>年度</w:t>
      </w:r>
      <w:r>
        <w:rPr>
          <w:rFonts w:hint="default" w:ascii="メイリオ" w:hAnsi="メイリオ" w:eastAsia="メイリオ"/>
          <w:color w:val="000000" w:themeColor="text1"/>
          <w:sz w:val="24"/>
        </w:rPr>
        <w:t>における要介護認定者及び保険給付費も合わせて、以下のとおり推計します。</w:t>
      </w:r>
    </w:p>
    <w:p>
      <w:pPr>
        <w:pStyle w:val="0"/>
        <w:widowControl w:val="1"/>
        <w:ind w:firstLine="240" w:firstLineChars="100"/>
        <w:jc w:val="left"/>
        <w:rPr>
          <w:rFonts w:hint="default" w:ascii="メイリオ" w:hAnsi="メイリオ" w:eastAsia="メイリオ"/>
          <w:color w:val="000000" w:themeColor="text1"/>
          <w:sz w:val="24"/>
        </w:rPr>
      </w:pPr>
    </w:p>
    <w:tbl>
      <w:tblPr>
        <w:tblStyle w:val="11"/>
        <w:tblW w:w="85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3138"/>
        <w:gridCol w:w="2622"/>
        <w:gridCol w:w="2789"/>
      </w:tblGrid>
      <w:tr>
        <w:trPr>
          <w:trHeight w:val="513"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項目</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令和</w:t>
            </w:r>
            <w:r>
              <w:rPr>
                <w:rFonts w:hint="eastAsia" w:ascii="メイリオ" w:hAnsi="メイリオ" w:eastAsia="メイリオ"/>
                <w:color w:val="000000" w:themeColor="text1"/>
                <w:kern w:val="0"/>
              </w:rPr>
              <w:t>12</w:t>
            </w:r>
            <w:r>
              <w:rPr>
                <w:rFonts w:hint="eastAsia" w:ascii="メイリオ" w:hAnsi="メイリオ" w:eastAsia="メイリオ"/>
                <w:color w:val="000000" w:themeColor="text1"/>
                <w:kern w:val="0"/>
              </w:rPr>
              <w:t>（</w:t>
            </w:r>
            <w:r>
              <w:rPr>
                <w:rFonts w:hint="eastAsia" w:ascii="メイリオ" w:hAnsi="メイリオ" w:eastAsia="メイリオ"/>
                <w:color w:val="000000" w:themeColor="text1"/>
                <w:kern w:val="0"/>
              </w:rPr>
              <w:t>2030</w:t>
            </w:r>
            <w:r>
              <w:rPr>
                <w:rFonts w:hint="eastAsia" w:ascii="メイリオ" w:hAnsi="メイリオ" w:eastAsia="メイリオ"/>
                <w:color w:val="000000" w:themeColor="text1"/>
                <w:kern w:val="0"/>
              </w:rPr>
              <w:t>）年度</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widowControl w:val="1"/>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令和</w:t>
            </w:r>
            <w:r>
              <w:rPr>
                <w:rFonts w:hint="eastAsia" w:ascii="メイリオ" w:hAnsi="メイリオ" w:eastAsia="メイリオ"/>
                <w:color w:val="000000" w:themeColor="text1"/>
                <w:kern w:val="0"/>
              </w:rPr>
              <w:t>22</w:t>
            </w:r>
            <w:r>
              <w:rPr>
                <w:rFonts w:hint="eastAsia" w:ascii="メイリオ" w:hAnsi="メイリオ" w:eastAsia="メイリオ"/>
                <w:color w:val="000000" w:themeColor="text1"/>
                <w:kern w:val="0"/>
              </w:rPr>
              <w:t>（</w:t>
            </w:r>
            <w:r>
              <w:rPr>
                <w:rFonts w:hint="eastAsia" w:ascii="メイリオ" w:hAnsi="メイリオ" w:eastAsia="メイリオ"/>
                <w:color w:val="000000" w:themeColor="text1"/>
                <w:kern w:val="0"/>
              </w:rPr>
              <w:t>2040</w:t>
            </w:r>
            <w:r>
              <w:rPr>
                <w:rFonts w:hint="eastAsia" w:ascii="メイリオ" w:hAnsi="メイリオ" w:eastAsia="メイリオ"/>
                <w:color w:val="000000" w:themeColor="text1"/>
                <w:kern w:val="0"/>
              </w:rPr>
              <w:t>）年度</w:t>
            </w:r>
          </w:p>
        </w:tc>
      </w:tr>
      <w:tr>
        <w:trPr>
          <w:trHeight w:val="668"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高齢者人口</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ind w:left="210" w:hanging="210" w:hangingChars="100"/>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746</w:t>
            </w:r>
            <w:r>
              <w:rPr>
                <w:rFonts w:hint="eastAsia" w:ascii="メイリオ" w:hAnsi="メイリオ" w:eastAsia="メイリオ"/>
                <w:color w:val="000000" w:themeColor="text1"/>
                <w:kern w:val="0"/>
              </w:rPr>
              <w:t>人</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ind w:left="210" w:hanging="210" w:hangingChars="100"/>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624</w:t>
            </w:r>
            <w:r>
              <w:rPr>
                <w:rFonts w:hint="eastAsia" w:ascii="メイリオ" w:hAnsi="メイリオ" w:eastAsia="メイリオ"/>
                <w:color w:val="000000" w:themeColor="text1"/>
                <w:kern w:val="0"/>
              </w:rPr>
              <w:t>人</w:t>
            </w:r>
          </w:p>
        </w:tc>
      </w:tr>
      <w:tr>
        <w:trPr>
          <w:trHeight w:val="668"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要介護（要支援）認定者数</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144</w:t>
            </w:r>
            <w:r>
              <w:rPr>
                <w:rFonts w:hint="eastAsia" w:ascii="メイリオ" w:hAnsi="メイリオ" w:eastAsia="メイリオ"/>
                <w:color w:val="000000" w:themeColor="text1"/>
                <w:kern w:val="0"/>
              </w:rPr>
              <w:t>人</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129</w:t>
            </w:r>
            <w:r>
              <w:rPr>
                <w:rFonts w:hint="eastAsia" w:ascii="メイリオ" w:hAnsi="メイリオ" w:eastAsia="メイリオ"/>
                <w:color w:val="000000" w:themeColor="text1"/>
                <w:kern w:val="0"/>
              </w:rPr>
              <w:t>人</w:t>
            </w:r>
          </w:p>
        </w:tc>
      </w:tr>
      <w:tr>
        <w:trPr>
          <w:trHeight w:val="668"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介護給付費</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（標準給付費）</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279,169,286</w:t>
            </w:r>
            <w:r>
              <w:rPr>
                <w:rFonts w:hint="eastAsia" w:ascii="メイリオ" w:hAnsi="メイリオ" w:eastAsia="メイリオ"/>
                <w:color w:val="000000" w:themeColor="text1"/>
                <w:kern w:val="0"/>
              </w:rPr>
              <w:t>円</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254,441,439</w:t>
            </w:r>
            <w:r>
              <w:rPr>
                <w:rFonts w:hint="eastAsia" w:ascii="メイリオ" w:hAnsi="メイリオ" w:eastAsia="メイリオ"/>
                <w:color w:val="000000" w:themeColor="text1"/>
                <w:kern w:val="0"/>
              </w:rPr>
              <w:t>円</w:t>
            </w:r>
          </w:p>
        </w:tc>
      </w:tr>
      <w:tr>
        <w:trPr>
          <w:trHeight w:val="668"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地域支援事業費</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14,811,618</w:t>
            </w:r>
            <w:r>
              <w:rPr>
                <w:rFonts w:hint="eastAsia" w:ascii="メイリオ" w:hAnsi="メイリオ" w:eastAsia="メイリオ"/>
                <w:color w:val="000000" w:themeColor="text1"/>
                <w:kern w:val="0"/>
              </w:rPr>
              <w:t>円</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b w:val="1"/>
                <w:color w:val="000000" w:themeColor="text1"/>
                <w:kern w:val="0"/>
              </w:rPr>
            </w:pPr>
            <w:r>
              <w:rPr>
                <w:rFonts w:hint="eastAsia" w:ascii="メイリオ" w:hAnsi="メイリオ" w:eastAsia="メイリオ"/>
                <w:color w:val="000000" w:themeColor="text1"/>
                <w:kern w:val="0"/>
              </w:rPr>
              <w:t>13,524,481</w:t>
            </w:r>
            <w:r>
              <w:rPr>
                <w:rFonts w:hint="eastAsia" w:ascii="メイリオ" w:hAnsi="メイリオ" w:eastAsia="メイリオ"/>
                <w:color w:val="000000" w:themeColor="text1"/>
                <w:kern w:val="0"/>
              </w:rPr>
              <w:t>円</w:t>
            </w:r>
          </w:p>
        </w:tc>
      </w:tr>
      <w:tr>
        <w:trPr>
          <w:trHeight w:val="668" w:hRule="atLeast"/>
        </w:trPr>
        <w:tc>
          <w:tcPr>
            <w:tcW w:w="3138"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widowControl w:val="1"/>
              <w:spacing w:before="33" w:beforeLines="10" w:beforeAutospacing="0" w:after="67" w:afterLines="20" w:afterAutospacing="0" w:line="280" w:lineRule="exact"/>
              <w:jc w:val="center"/>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介護保険料基準額</w:t>
            </w:r>
            <w:r>
              <w:rPr>
                <w:rFonts w:hint="eastAsia" w:ascii="メイリオ" w:hAnsi="メイリオ" w:eastAsia="メイリオ"/>
                <w:color w:val="000000" w:themeColor="text1"/>
                <w:kern w:val="0"/>
              </w:rPr>
              <w:br w:type="textWrapping" w:clear="none"/>
            </w:r>
            <w:r>
              <w:rPr>
                <w:rFonts w:hint="eastAsia" w:ascii="メイリオ" w:hAnsi="メイリオ" w:eastAsia="メイリオ"/>
                <w:color w:val="000000" w:themeColor="text1"/>
                <w:kern w:val="0"/>
              </w:rPr>
              <w:t>（月額）</w:t>
            </w:r>
          </w:p>
        </w:tc>
        <w:tc>
          <w:tcPr>
            <w:tcW w:w="262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7,686</w:t>
            </w:r>
            <w:r>
              <w:rPr>
                <w:rFonts w:hint="eastAsia" w:ascii="メイリオ" w:hAnsi="メイリオ" w:eastAsia="メイリオ"/>
                <w:color w:val="000000" w:themeColor="text1"/>
                <w:kern w:val="0"/>
              </w:rPr>
              <w:t>円</w:t>
            </w:r>
          </w:p>
        </w:tc>
        <w:tc>
          <w:tcPr>
            <w:tcW w:w="278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background1" w:themeFillTint="FF" w:themeFillShade="FF"/>
            <w:vAlign w:val="center"/>
          </w:tcPr>
          <w:p>
            <w:pPr>
              <w:pStyle w:val="0"/>
              <w:widowControl w:val="1"/>
              <w:spacing w:before="33" w:beforeLines="10" w:beforeAutospacing="0" w:after="33" w:afterLines="10" w:afterAutospacing="0" w:line="240" w:lineRule="exact"/>
              <w:jc w:val="right"/>
              <w:rPr>
                <w:rFonts w:hint="default" w:ascii="メイリオ" w:hAnsi="メイリオ" w:eastAsia="メイリオ"/>
                <w:color w:val="000000" w:themeColor="text1"/>
                <w:kern w:val="0"/>
              </w:rPr>
            </w:pPr>
            <w:r>
              <w:rPr>
                <w:rFonts w:hint="eastAsia" w:ascii="メイリオ" w:hAnsi="メイリオ" w:eastAsia="メイリオ"/>
                <w:color w:val="000000" w:themeColor="text1"/>
                <w:kern w:val="0"/>
              </w:rPr>
              <w:t>8,891</w:t>
            </w:r>
            <w:r>
              <w:rPr>
                <w:rFonts w:hint="eastAsia" w:ascii="メイリオ" w:hAnsi="メイリオ" w:eastAsia="メイリオ"/>
                <w:color w:val="000000" w:themeColor="text1"/>
                <w:kern w:val="0"/>
              </w:rPr>
              <w:t>円</w:t>
            </w:r>
          </w:p>
        </w:tc>
      </w:tr>
    </w:tbl>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36"/>
        <w:rPr>
          <w:rFonts w:hint="default"/>
          <w:color w:val="000000" w:themeColor="text1"/>
        </w:rPr>
      </w:pPr>
      <w:bookmarkStart w:id="39" w:name="_Toc154129945"/>
      <w:r>
        <w:rPr>
          <w:rFonts w:hint="eastAsia"/>
          <w:color w:val="000000" w:themeColor="text1"/>
        </w:rPr>
        <w:t>第６章　計画の推進</w:t>
      </w:r>
      <w:bookmarkEnd w:id="39"/>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40" w:name="_Toc154129946"/>
      <w:r>
        <w:rPr>
          <w:rFonts w:hint="eastAsia"/>
          <w:color w:val="000000" w:themeColor="text1"/>
        </w:rPr>
        <w:t>第１節　サービスの円滑な提供を図るための方策</w:t>
      </w:r>
      <w:bookmarkEnd w:id="40"/>
      <w:r>
        <w:rPr>
          <w:rFonts w:hint="default"/>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介護給付実施体制の強化</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適正な介護保険制度の運営とサービスの質の向上を図ることは、介護や支援を必要とする高齢者やその家族から強く求められています。このため、介護サービスを取り巻く環境の整備を進めるとともに、介護保険制度の普及や利用者保護の充実等、介護保険制度の維持・発展のための取り組みを進め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さらに、保健・福祉サービスの円滑な提供を図るため、関係機関との連携を強化し、相互の情報共有を進め、常にサービスの向上と改善を進めていきます。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（１）介護保険制度の普及・情報提供</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保険制度の開始以来、介護保険サービスの認知度は向上していますが、引き続き「広報りくべつ」やホームページへの掲載、パンフレットの作成・配布、介護サービス事業者が行う研修の支援等により介護保険制度の普及を図り、町民への制度理解を進め、サービスの向上に努めます。また、地域包括支援センターが相談窓口であることを広く町民に周知することで、支援が必要な人に必要なサービスが提供されるよう努め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（２）サービスに関する苦情の受付・相談体制の強化</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町は保険者として、また利用者の最も身近な相談窓口として、相談や苦情に対して、適切かつ迅速な対応を行います。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また、地域包括支援センターにおいて、居宅サービス計画や事業者との契約に関する相談に応じる等、総合相談体制を強化していきます。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（３）サービスの質の向上</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介護支援専門員等に対して研修を実施するほか、サービス内容等の改善が必要な介護サービス事業者に対して適切な育成、指導に努めていきます。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あわせて、地域ケア会議の充実により、意思決定支援のあり方を模索するなど、より一人ひとりに合った支援となるよう、医療と介護が連携して支援の質の向上を目指していきます。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２　地域包括ケアシステムの深化・推進</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地域包括ケアシステムの深化推進のため、その役割の中核を担う地域包括支援センターが関係機関との連携を強化し、本町に合った具体的な施策を打ち出すことができるよう機能強化を図ります。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また、地域包括支援センターが今まで連携し対応してきた経験を生かし、本町においても顕在化してきている「</w:t>
      </w:r>
      <w:r>
        <w:rPr>
          <w:rFonts w:hint="default" w:ascii="メイリオ" w:hAnsi="メイリオ" w:eastAsia="メイリオ"/>
          <w:color w:val="000000" w:themeColor="text1"/>
          <w:sz w:val="24"/>
        </w:rPr>
        <w:t>8050</w:t>
      </w:r>
      <w:r>
        <w:rPr>
          <w:rFonts w:hint="default" w:ascii="メイリオ" w:hAnsi="メイリオ" w:eastAsia="メイリオ"/>
          <w:color w:val="000000" w:themeColor="text1"/>
          <w:sz w:val="24"/>
        </w:rPr>
        <w:t>問題」や「親亡き後問題」などの複合的な課題に迅速に対応できるよう地域力の基盤強化に取り組みます。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高齢者の住まいと介護保険制度の連携強化</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厚生労働省が公表した第９期介護保険事業計画の基本指針案では、新たに「地域共生社会の実現という観点からの住まいと生活の一体的支援の重要性」が盛り込まれており、地域包括ケアシステムの深化・推進に向けて、高齢者の住まいについても、市町村が提供する介護保険事業等との連携を深めていく必要があ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本町には特別養護老人ホームと認知症対応型共同生活介護の２つの介護保険施設がありますが、現在の町内にある介護保険施設では、要介護１及び２で身体介護が必要となった場合に在宅介護が困難な町民が入居できる住まいがないことが地域課題となっており、いわゆる中間施設問題として関係者間で協議を続けてきた経緯があります。</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介護が必要となっても町内に住み続けることができるよう、介護保険制度の枠にこだわることなく高齢者の住まいと生活の一体的支援となるよう町全体のニーズの把握や提言に努めます。</w:t>
      </w:r>
    </w:p>
    <w:p>
      <w:pPr>
        <w:pStyle w:val="0"/>
        <w:widowControl w:val="1"/>
        <w:jc w:val="left"/>
        <w:rPr>
          <w:rFonts w:hint="default" w:ascii="メイリオ" w:hAnsi="メイリオ" w:eastAsia="メイリオ"/>
          <w:color w:val="000000" w:themeColor="text1"/>
          <w:sz w:val="24"/>
        </w:rPr>
      </w:pPr>
    </w:p>
    <w:p>
      <w:pPr>
        <w:pStyle w:val="38"/>
        <w:rPr>
          <w:rFonts w:hint="default"/>
          <w:color w:val="000000" w:themeColor="text1"/>
        </w:rPr>
      </w:pPr>
      <w:bookmarkStart w:id="41" w:name="_Toc154129947"/>
      <w:r>
        <w:rPr>
          <w:rFonts w:hint="eastAsia"/>
          <w:color w:val="000000" w:themeColor="text1"/>
        </w:rPr>
        <w:t>第２節　介護給付適正化</w:t>
      </w:r>
      <w:bookmarkEnd w:id="41"/>
    </w:p>
    <w:p>
      <w:pPr>
        <w:pStyle w:val="0"/>
        <w:widowControl w:val="1"/>
        <w:jc w:val="left"/>
        <w:rPr>
          <w:rFonts w:hint="default" w:ascii="メイリオ" w:hAnsi="メイリオ" w:eastAsia="メイリオ"/>
          <w:color w:val="000000" w:themeColor="text1"/>
          <w:sz w:val="24"/>
        </w:rPr>
      </w:pP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が増加していく中で、介護保険制度が信頼を得て、持続可能となるためには、不適切な介護サービスの削減に努めながら、利用者に適切なサービスを提供し、介護給付費や介護保険料の抑制に努めることが求められています。介護給付を必要とする受給者を適切に認定した上で、受給者が必要とするサービスを事業者が適正に提供するよう、介護給付の適正化を推進します。</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具体的な取り組み項目は以下のとおりです。</w:t>
      </w:r>
    </w:p>
    <w:p>
      <w:pPr>
        <w:pStyle w:val="0"/>
        <w:snapToGrid w:val="0"/>
        <w:spacing w:line="120" w:lineRule="auto"/>
        <w:rPr>
          <w:rFonts w:hint="default"/>
          <w:color w:val="000000" w:themeColor="text1"/>
        </w:rPr>
      </w:pPr>
    </w:p>
    <w:tbl>
      <w:tblPr>
        <w:tblStyle w:val="72"/>
        <w:tblW w:w="5000" w:type="pct"/>
        <w:tblInd w:w="0" w:type="dxa"/>
        <w:tblLayout w:type="fixed"/>
        <w:tblLook w:firstRow="1" w:lastRow="0" w:firstColumn="1" w:lastColumn="0" w:noHBand="0" w:noVBand="1" w:val="04A0"/>
      </w:tblPr>
      <w:tblGrid>
        <w:gridCol w:w="2200"/>
        <w:gridCol w:w="6294"/>
      </w:tblGrid>
      <w:tr>
        <w:trPr>
          <w:trHeight w:val="1134" w:hRule="atLeast"/>
        </w:trPr>
        <w:tc>
          <w:tcPr>
            <w:tcW w:w="1295" w:type="pct"/>
            <w:shd w:val="clear" w:color="auto" w:themeFill="accent1" w:themeFillTint="33" w:themeFillShade="FF"/>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要支援・要介護認定の適正化</w:t>
            </w:r>
          </w:p>
        </w:tc>
        <w:tc>
          <w:tcPr>
            <w:tcW w:w="3705" w:type="pct"/>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要介護等認定を公平かつ適切に実施するため、新規の要支援・要介護認定申請においては、町の職員が直接訪問し調査を実施しているほか、北海道主体の介護認定調査員研修を毎年受講してもらうよう周知しています。また、要介護等認定に係る申請の受付から結果の通知を行うまでの期間の短縮に努めます。</w:t>
            </w:r>
          </w:p>
        </w:tc>
      </w:tr>
      <w:tr>
        <w:trPr>
          <w:trHeight w:val="1134" w:hRule="atLeast"/>
        </w:trPr>
        <w:tc>
          <w:tcPr>
            <w:tcW w:w="1295" w:type="pct"/>
            <w:shd w:val="clear" w:color="auto" w:themeFill="accent1" w:themeFillTint="33" w:themeFillShade="FF"/>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ケアプランの点検</w:t>
            </w:r>
          </w:p>
        </w:tc>
        <w:tc>
          <w:tcPr>
            <w:tcW w:w="3705" w:type="pct"/>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毎年町内の居宅介護支援事業所の介護支援専門員から</w:t>
            </w:r>
            <w:r>
              <w:rPr>
                <w:rFonts w:hint="eastAsia" w:ascii="メイリオ" w:hAnsi="メイリオ" w:eastAsia="メイリオ"/>
                <w:color w:val="000000" w:themeColor="text1"/>
              </w:rPr>
              <w:t>1</w:t>
            </w:r>
            <w:r>
              <w:rPr>
                <w:rFonts w:hint="eastAsia" w:ascii="メイリオ" w:hAnsi="メイリオ" w:eastAsia="メイリオ"/>
                <w:color w:val="000000" w:themeColor="text1"/>
              </w:rPr>
              <w:t>件ずつの介護又は介護予防サービス計画（ケアプラン）を抽出してもらい利用者に適したケアプランとなっているかの点検を行い、点検結果について介護支援専門員への助言を行います。また、その結果に基づき、介護支援専門員を対象とした研修会を行うことにより、自立支援に資するケアマネジメントの実践を促進するとともにケアプランの質の向上を目指します。</w:t>
            </w:r>
          </w:p>
        </w:tc>
      </w:tr>
      <w:tr>
        <w:trPr>
          <w:trHeight w:val="1134" w:hRule="atLeast"/>
        </w:trPr>
        <w:tc>
          <w:tcPr>
            <w:tcW w:w="1295" w:type="pct"/>
            <w:shd w:val="clear" w:color="auto" w:themeFill="accent1" w:themeFillTint="33" w:themeFillShade="FF"/>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住宅改修の点検</w:t>
            </w:r>
          </w:p>
        </w:tc>
        <w:tc>
          <w:tcPr>
            <w:tcW w:w="3705" w:type="pct"/>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施工後の写真・領収証・請求書図面等を確認しています。さらに施工後に訪問調査等を行って施工状況を点検することにより、利用者の状態にそぐわない不適切又は不要な住宅改修がないか点検を行います。</w:t>
            </w:r>
          </w:p>
        </w:tc>
      </w:tr>
      <w:tr>
        <w:trPr>
          <w:trHeight w:val="816" w:hRule="atLeast"/>
        </w:trPr>
        <w:tc>
          <w:tcPr>
            <w:tcW w:w="1295" w:type="pct"/>
            <w:shd w:val="clear" w:color="auto" w:themeFill="accent1" w:themeFillTint="33" w:themeFillShade="FF"/>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福祉用具購入・貸与調査</w:t>
            </w:r>
          </w:p>
        </w:tc>
        <w:tc>
          <w:tcPr>
            <w:tcW w:w="3705" w:type="pct"/>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福祉用具の購入時、ケアプラン・カタログ・納品書・領収証等を担当者間で確認しています。</w:t>
            </w:r>
          </w:p>
        </w:tc>
      </w:tr>
      <w:tr>
        <w:trPr>
          <w:trHeight w:val="1134" w:hRule="atLeast"/>
        </w:trPr>
        <w:tc>
          <w:tcPr>
            <w:tcW w:w="1295" w:type="pct"/>
            <w:shd w:val="clear" w:color="auto" w:themeFill="accent1" w:themeFillTint="33" w:themeFillShade="FF"/>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縦覧点検・医療情報との突合</w:t>
            </w:r>
          </w:p>
        </w:tc>
        <w:tc>
          <w:tcPr>
            <w:tcW w:w="3705" w:type="pct"/>
            <w:vAlign w:val="center"/>
          </w:tcPr>
          <w:p>
            <w:pPr>
              <w:pStyle w:val="0"/>
              <w:snapToGrid w:val="0"/>
              <w:spacing w:line="192" w:lineRule="auto"/>
              <w:rPr>
                <w:rFonts w:hint="default" w:ascii="メイリオ" w:hAnsi="メイリオ" w:eastAsia="メイリオ"/>
                <w:color w:val="000000" w:themeColor="text1"/>
              </w:rPr>
            </w:pPr>
            <w:r>
              <w:rPr>
                <w:rFonts w:hint="eastAsia" w:ascii="メイリオ" w:hAnsi="メイリオ" w:eastAsia="メイリオ"/>
                <w:color w:val="000000" w:themeColor="text1"/>
              </w:rPr>
              <w:t>北海道国民健康保険団体連合会に委託し、同連合会の介護給付適正化システムから提供される情報を活用して、請求情報縦覧点検や介護と医療情報との突合による請求実績の確認を行っています。</w:t>
            </w:r>
          </w:p>
        </w:tc>
      </w:tr>
    </w:tbl>
    <w:p>
      <w:pPr>
        <w:pStyle w:val="38"/>
        <w:rPr>
          <w:rStyle w:val="39"/>
          <w:rFonts w:hint="default"/>
          <w:color w:val="000000" w:themeColor="text1"/>
        </w:rPr>
      </w:pPr>
      <w:bookmarkStart w:id="42" w:name="_Toc154129948"/>
      <w:r>
        <w:rPr>
          <w:rStyle w:val="39"/>
          <w:rFonts w:hint="eastAsia"/>
          <w:color w:val="000000" w:themeColor="text1"/>
        </w:rPr>
        <w:t>第３節　計画の達成状況の点検と評価</w:t>
      </w:r>
      <w:bookmarkEnd w:id="42"/>
      <w:r>
        <w:rPr>
          <w:rStyle w:val="39"/>
          <w:rFonts w:hint="eastAsia"/>
          <w:color w:val="000000" w:themeColor="text1"/>
        </w:rPr>
        <w:tab/>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１　取り組み目標</w:t>
      </w:r>
      <w:r>
        <w:rPr>
          <w:rFonts w:hint="default"/>
          <w:color w:val="000000" w:themeColor="text1"/>
        </w:rPr>
        <w:tab/>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高齢者の自立支援や重度化防止の取り組みを推進するためには、市町村が地域課題を分析し、地域の実情に即して、取り組みに関する目標を計画に記載するとともに、目標に対する実績評価及び評価結果を公表するよう努めることが定められていることから、陸別町での取り組み結果を評価するための項目及び目標値を下記のとおり設定しました。</w:t>
      </w:r>
    </w:p>
    <w:p>
      <w:pPr>
        <w:pStyle w:val="0"/>
        <w:widowControl w:val="1"/>
        <w:ind w:left="210" w:leftChars="100"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なお、この評価を陸別町地域包括ケアシステム推進会議へ報告し事業計画及び事業の円滑な運営を推進していきます。</w:t>
      </w:r>
    </w:p>
    <w:tbl>
      <w:tblPr>
        <w:tblStyle w:val="64"/>
        <w:tblpPr w:leftFromText="0" w:rightFromText="0" w:topFromText="0" w:bottomFromText="0" w:vertAnchor="text" w:horzAnchor="margin" w:tblpXSpec="center" w:tblpY="520"/>
        <w:tblOverlap w:val="never"/>
        <w:tblW w:w="8366" w:type="dxa"/>
        <w:tblLayout w:type="fixed"/>
        <w:tblLook w:firstRow="1" w:lastRow="0" w:firstColumn="1" w:lastColumn="0" w:noHBand="0" w:noVBand="1" w:val="04A0"/>
      </w:tblPr>
      <w:tblGrid>
        <w:gridCol w:w="3686"/>
        <w:gridCol w:w="2340"/>
        <w:gridCol w:w="2340"/>
      </w:tblGrid>
      <w:tr>
        <w:trPr>
          <w:trHeight w:val="489" w:hRule="atLeast"/>
          <w:tblHeader/>
        </w:trPr>
        <w:tc>
          <w:tcPr>
            <w:tcW w:w="3686" w:type="dxa"/>
            <w:tc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67" w:beforeLines="20" w:beforeAutospacing="0" w:after="67" w:afterLines="20" w:afterAutospacing="0" w:line="260" w:lineRule="exact"/>
              <w:jc w:val="center"/>
              <w:rPr>
                <w:rFonts w:hint="eastAsia"/>
                <w:color w:val="000000" w:themeColor="text1"/>
              </w:rPr>
            </w:pPr>
            <w:r>
              <w:rPr>
                <w:rFonts w:hint="eastAsia" w:ascii="メイリオ" w:hAnsi="メイリオ" w:eastAsia="メイリオ"/>
                <w:color w:val="000000" w:themeColor="text1"/>
              </w:rPr>
              <w:t>指標名</w:t>
            </w:r>
          </w:p>
        </w:tc>
        <w:tc>
          <w:tcPr>
            <w:tcW w:w="2340"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4" w:space="0"/>
              <w:tl2br w:val="none" w:color="auto" w:sz="0" w:space="0"/>
              <w:tr2bl w:val="none" w:color="auto" w:sz="0" w:space="0"/>
            </w:tcBorders>
            <w:shd w:val="clear" w:color="auto" w:themeFill="accent1" w:themeFillTint="66" w:themeFillShade="FF"/>
            <w:vAlign w:val="center"/>
          </w:tcPr>
          <w:p>
            <w:pPr>
              <w:pStyle w:val="0"/>
              <w:spacing w:before="67" w:beforeLines="20" w:beforeAutospacing="0" w:after="67" w:afterLines="20" w:afterAutospacing="0" w:line="260" w:lineRule="exact"/>
              <w:jc w:val="center"/>
              <w:rPr>
                <w:rFonts w:hint="eastAsia"/>
                <w:color w:val="000000" w:themeColor="text1"/>
              </w:rPr>
            </w:pPr>
            <w:r>
              <w:rPr>
                <w:rFonts w:hint="eastAsia" w:ascii="メイリオ" w:hAnsi="メイリオ" w:eastAsia="メイリオ"/>
                <w:color w:val="000000" w:themeColor="text1"/>
              </w:rPr>
              <w:t>現状値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（令和５年度）</w:t>
            </w:r>
          </w:p>
        </w:tc>
        <w:tc>
          <w:tcPr>
            <w:tcW w:w="2340" w:type="dxa"/>
            <w:tcBorders>
              <w:top w:val="single" w:color="A6A6A6" w:themeColor="background1" w:themeShade="A6" w:sz="6" w:space="0"/>
              <w:left w:val="single" w:color="A6A6A6" w:themeColor="background1" w:themeShade="A6" w:sz="4" w:space="0"/>
              <w:bottom w:val="single" w:color="A6A6A6" w:themeColor="background1" w:themeShade="A6" w:sz="6" w:space="0"/>
              <w:right w:val="single" w:color="A6A6A6" w:themeColor="background1" w:themeShade="A6" w:sz="6" w:space="0"/>
              <w:tl2br w:val="none" w:color="auto" w:sz="0" w:space="0"/>
              <w:tr2bl w:val="none" w:color="auto" w:sz="0" w:space="0"/>
            </w:tcBorders>
            <w:shd w:val="clear" w:color="auto" w:themeFill="accent1" w:themeFillTint="66" w:themeFillShade="FF"/>
            <w:vAlign w:val="center"/>
          </w:tcPr>
          <w:p>
            <w:pPr>
              <w:pStyle w:val="0"/>
              <w:spacing w:before="67" w:beforeLines="20" w:beforeAutospacing="0" w:after="67" w:afterLines="20" w:afterAutospacing="0" w:line="260" w:lineRule="exact"/>
              <w:jc w:val="center"/>
              <w:rPr>
                <w:rFonts w:hint="eastAsia"/>
                <w:color w:val="000000" w:themeColor="text1"/>
              </w:rPr>
            </w:pPr>
            <w:r>
              <w:rPr>
                <w:rFonts w:hint="eastAsia" w:ascii="メイリオ" w:hAnsi="メイリオ" w:eastAsia="メイリオ"/>
                <w:color w:val="000000" w:themeColor="text1"/>
              </w:rPr>
              <w:t>目標値</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（令和８年度）</w:t>
            </w:r>
          </w:p>
        </w:tc>
      </w:tr>
      <w:tr>
        <w:trPr>
          <w:trHeight w:val="664" w:hRule="atLeast"/>
        </w:trPr>
        <w:tc>
          <w:tcPr>
            <w:tcW w:w="3686" w:type="dxa"/>
            <w:tcBorders>
              <w:top w:val="single" w:color="A6A6A6" w:themeColor="background1" w:themeShade="A6" w:sz="6"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before="67" w:beforeLines="20" w:beforeAutospacing="0" w:after="67" w:afterLines="20" w:afterAutospacing="0" w:line="260" w:lineRule="exact"/>
              <w:ind w:left="315" w:hanging="315" w:hangingChars="150"/>
              <w:jc w:val="left"/>
              <w:rPr>
                <w:rFonts w:hint="eastAsia"/>
                <w:color w:val="000000" w:themeColor="text1"/>
              </w:rPr>
            </w:pPr>
            <w:r>
              <w:rPr>
                <w:rFonts w:hint="eastAsia" w:ascii="メイリオ" w:hAnsi="メイリオ" w:eastAsia="メイリオ"/>
                <w:color w:val="000000" w:themeColor="text1"/>
              </w:rPr>
              <w:t>①</w:t>
            </w:r>
            <w:r>
              <w:rPr>
                <w:rFonts w:hint="eastAsia" w:ascii="メイリオ" w:hAnsi="メイリオ" w:eastAsia="メイリオ"/>
                <w:color w:val="000000" w:themeColor="text1"/>
              </w:rPr>
              <w:t xml:space="preserve"> </w:t>
            </w:r>
            <w:r>
              <w:rPr>
                <w:rFonts w:hint="eastAsia" w:ascii="メイリオ" w:hAnsi="メイリオ" w:eastAsia="メイリオ"/>
                <w:color w:val="000000" w:themeColor="text1"/>
              </w:rPr>
              <w:t>要介護認定等の状況</w:t>
            </w:r>
            <w:r>
              <w:rPr>
                <w:rFonts w:hint="eastAsia" w:ascii="メイリオ" w:hAnsi="メイリオ" w:eastAsia="メイリオ"/>
                <w:color w:val="000000" w:themeColor="text1"/>
              </w:rPr>
              <w:br w:type="textWrapping" w:clear="none"/>
            </w:r>
            <w:r>
              <w:rPr>
                <w:rFonts w:hint="eastAsia" w:ascii="メイリオ" w:hAnsi="メイリオ" w:eastAsia="メイリオ"/>
                <w:color w:val="000000" w:themeColor="text1"/>
              </w:rPr>
              <w:t>（第１号被保険者に占める要支援・要介護認定者の割合）</w:t>
            </w:r>
          </w:p>
        </w:tc>
        <w:tc>
          <w:tcPr>
            <w:tcW w:w="2340"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80" w:lineRule="exact"/>
              <w:ind w:left="105" w:leftChars="50" w:right="105" w:rightChars="50"/>
              <w:jc w:val="center"/>
              <w:rPr>
                <w:rFonts w:hint="eastAsia"/>
                <w:color w:val="000000" w:themeColor="text1"/>
              </w:rPr>
            </w:pPr>
            <w:r>
              <w:rPr>
                <w:rFonts w:hint="eastAsia" w:ascii="メイリオ" w:hAnsi="メイリオ" w:eastAsia="メイリオ"/>
                <w:b w:val="0"/>
                <w:color w:val="000000" w:themeColor="text1"/>
                <w:u w:val="none" w:color="auto"/>
              </w:rPr>
              <w:t>18.5</w:t>
            </w:r>
            <w:r>
              <w:rPr>
                <w:rFonts w:hint="eastAsia" w:ascii="メイリオ" w:hAnsi="メイリオ" w:eastAsia="メイリオ"/>
                <w:b w:val="0"/>
                <w:color w:val="000000" w:themeColor="text1"/>
                <w:u w:val="none" w:color="auto"/>
              </w:rPr>
              <w:t>％</w:t>
            </w:r>
          </w:p>
        </w:tc>
        <w:tc>
          <w:tcPr>
            <w:tcW w:w="2340" w:type="dxa"/>
            <w:tcBorders>
              <w:top w:val="single" w:color="A6A6A6" w:themeColor="background1" w:themeShade="A6" w:sz="6"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background1" w:themeFillTint="FF" w:themeFillShade="FF"/>
            <w:vAlign w:val="center"/>
          </w:tcPr>
          <w:p>
            <w:pPr>
              <w:pStyle w:val="0"/>
              <w:spacing w:line="280" w:lineRule="exact"/>
              <w:ind w:right="105" w:rightChars="50"/>
              <w:jc w:val="center"/>
              <w:rPr>
                <w:rFonts w:hint="eastAsia"/>
                <w:color w:val="000000" w:themeColor="text1"/>
              </w:rPr>
            </w:pPr>
            <w:r>
              <w:rPr>
                <w:rFonts w:hint="eastAsia" w:ascii="メイリオ" w:hAnsi="メイリオ" w:eastAsia="メイリオ"/>
                <w:b w:val="0"/>
                <w:color w:val="000000" w:themeColor="text1"/>
                <w:u w:val="none" w:color="auto"/>
              </w:rPr>
              <w:t>17.0</w:t>
            </w:r>
            <w:r>
              <w:rPr>
                <w:rFonts w:hint="eastAsia" w:ascii="メイリオ" w:hAnsi="メイリオ" w:eastAsia="メイリオ"/>
                <w:b w:val="0"/>
                <w:color w:val="000000" w:themeColor="text1"/>
                <w:u w:val="none" w:color="auto"/>
              </w:rPr>
              <w:t>％</w:t>
            </w:r>
          </w:p>
        </w:tc>
      </w:tr>
      <w:tr>
        <w:trPr>
          <w:trHeight w:val="664" w:hRule="atLeast"/>
        </w:trPr>
        <w:tc>
          <w:tcPr>
            <w:tcW w:w="3686"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before="67" w:beforeLines="20" w:beforeAutospacing="0" w:after="67" w:afterLines="20" w:afterAutospacing="0" w:line="260" w:lineRule="exact"/>
              <w:ind w:left="315" w:hanging="315" w:hangingChars="150"/>
              <w:jc w:val="left"/>
              <w:rPr>
                <w:rFonts w:hint="eastAsia"/>
                <w:color w:val="000000" w:themeColor="text1"/>
              </w:rPr>
            </w:pPr>
            <w:r>
              <w:rPr>
                <w:rFonts w:hint="eastAsia" w:ascii="メイリオ" w:hAnsi="メイリオ" w:eastAsia="メイリオ"/>
                <w:color w:val="000000" w:themeColor="text1"/>
              </w:rPr>
              <w:t>②</w:t>
            </w:r>
            <w:r>
              <w:rPr>
                <w:rFonts w:hint="eastAsia" w:ascii="メイリオ" w:hAnsi="メイリオ" w:eastAsia="メイリオ"/>
                <w:color w:val="000000" w:themeColor="text1"/>
              </w:rPr>
              <w:t xml:space="preserve"> </w:t>
            </w:r>
            <w:r>
              <w:rPr>
                <w:rFonts w:hint="eastAsia" w:ascii="メイリオ" w:hAnsi="メイリオ" w:eastAsia="メイリオ"/>
                <w:color w:val="000000" w:themeColor="text1"/>
              </w:rPr>
              <w:t>後期高齢者検診受診率</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80" w:lineRule="exact"/>
              <w:ind w:left="105" w:leftChars="50" w:right="105" w:rightChars="50"/>
              <w:jc w:val="center"/>
              <w:rPr>
                <w:rFonts w:hint="eastAsia"/>
                <w:color w:val="000000" w:themeColor="text1"/>
              </w:rPr>
            </w:pPr>
            <w:r>
              <w:rPr>
                <w:rFonts w:hint="eastAsia" w:ascii="メイリオ" w:hAnsi="メイリオ" w:eastAsia="メイリオ"/>
                <w:b w:val="0"/>
                <w:color w:val="000000" w:themeColor="text1"/>
                <w:u w:val="none" w:color="auto"/>
              </w:rPr>
              <w:t>20.0</w:t>
            </w:r>
            <w:r>
              <w:rPr>
                <w:rFonts w:hint="eastAsia" w:ascii="メイリオ" w:hAnsi="メイリオ" w:eastAsia="メイリオ"/>
                <w:b w:val="0"/>
                <w:color w:val="000000" w:themeColor="text1"/>
                <w:u w:val="none" w:color="auto"/>
              </w:rPr>
              <w:t>％</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background1" w:themeFillTint="FF" w:themeFillShade="FF"/>
            <w:vAlign w:val="center"/>
          </w:tcPr>
          <w:p>
            <w:pPr>
              <w:pStyle w:val="0"/>
              <w:spacing w:line="280" w:lineRule="exact"/>
              <w:ind w:right="105" w:rightChars="50"/>
              <w:jc w:val="center"/>
              <w:rPr>
                <w:rFonts w:hint="eastAsia"/>
                <w:color w:val="000000" w:themeColor="text1"/>
              </w:rPr>
            </w:pPr>
            <w:r>
              <w:rPr>
                <w:rFonts w:hint="eastAsia" w:ascii="メイリオ" w:hAnsi="メイリオ" w:eastAsia="メイリオ"/>
                <w:b w:val="0"/>
                <w:color w:val="000000" w:themeColor="text1"/>
                <w:u w:val="none" w:color="auto"/>
              </w:rPr>
              <w:t>前年度より増加</w:t>
            </w:r>
          </w:p>
        </w:tc>
      </w:tr>
      <w:tr>
        <w:trPr>
          <w:trHeight w:val="664" w:hRule="atLeast"/>
        </w:trPr>
        <w:tc>
          <w:tcPr>
            <w:tcW w:w="3686"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before="67" w:beforeLines="20" w:beforeAutospacing="0" w:after="67" w:afterLines="20" w:afterAutospacing="0" w:line="260" w:lineRule="exact"/>
              <w:ind w:left="315" w:hanging="315" w:hangingChars="150"/>
              <w:jc w:val="left"/>
              <w:rPr>
                <w:rFonts w:hint="eastAsia"/>
                <w:color w:val="000000" w:themeColor="text1"/>
              </w:rPr>
            </w:pPr>
            <w:r>
              <w:rPr>
                <w:rFonts w:hint="eastAsia" w:ascii="メイリオ" w:hAnsi="メイリオ" w:eastAsia="メイリオ"/>
                <w:color w:val="000000" w:themeColor="text1"/>
              </w:rPr>
              <w:t>③</w:t>
            </w:r>
            <w:r>
              <w:rPr>
                <w:rFonts w:hint="eastAsia" w:ascii="メイリオ" w:hAnsi="メイリオ" w:eastAsia="メイリオ"/>
                <w:color w:val="000000" w:themeColor="text1"/>
              </w:rPr>
              <w:t xml:space="preserve"> </w:t>
            </w:r>
            <w:r>
              <w:rPr>
                <w:rFonts w:hint="eastAsia" w:ascii="メイリオ" w:hAnsi="メイリオ" w:eastAsia="メイリオ"/>
                <w:color w:val="000000" w:themeColor="text1"/>
              </w:rPr>
              <w:t>自立支援型ケア会議の開催回数</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80" w:lineRule="exact"/>
              <w:ind w:left="105" w:leftChars="50" w:right="105" w:rightChars="50"/>
              <w:jc w:val="center"/>
              <w:rPr>
                <w:rFonts w:hint="eastAsia"/>
                <w:color w:val="000000" w:themeColor="text1"/>
              </w:rPr>
            </w:pPr>
            <w:r>
              <w:rPr>
                <w:rFonts w:hint="eastAsia" w:ascii="メイリオ" w:hAnsi="メイリオ" w:eastAsia="メイリオ"/>
                <w:b w:val="0"/>
                <w:color w:val="000000" w:themeColor="text1"/>
                <w:u w:val="none" w:color="auto"/>
              </w:rPr>
              <w:t>2</w:t>
            </w:r>
            <w:r>
              <w:rPr>
                <w:rFonts w:hint="eastAsia" w:ascii="メイリオ" w:hAnsi="メイリオ" w:eastAsia="メイリオ"/>
                <w:b w:val="0"/>
                <w:color w:val="000000" w:themeColor="text1"/>
                <w:u w:val="none" w:color="auto"/>
              </w:rPr>
              <w:t>回</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background1" w:themeFillTint="FF" w:themeFillShade="FF"/>
            <w:vAlign w:val="center"/>
          </w:tcPr>
          <w:p>
            <w:pPr>
              <w:pStyle w:val="0"/>
              <w:spacing w:line="280" w:lineRule="exact"/>
              <w:ind w:right="105" w:rightChars="50"/>
              <w:jc w:val="center"/>
              <w:rPr>
                <w:rFonts w:hint="eastAsia"/>
                <w:color w:val="000000" w:themeColor="text1"/>
              </w:rPr>
            </w:pPr>
            <w:r>
              <w:rPr>
                <w:rFonts w:hint="eastAsia" w:ascii="メイリオ" w:hAnsi="メイリオ" w:eastAsia="メイリオ"/>
                <w:b w:val="0"/>
                <w:color w:val="000000" w:themeColor="text1"/>
                <w:u w:val="none" w:color="auto"/>
              </w:rPr>
              <w:t>４回</w:t>
            </w:r>
          </w:p>
        </w:tc>
      </w:tr>
      <w:tr>
        <w:trPr>
          <w:trHeight w:val="663" w:hRule="atLeast"/>
        </w:trPr>
        <w:tc>
          <w:tcPr>
            <w:tcW w:w="3686" w:type="dxa"/>
            <w:tcBorders>
              <w:top w:val="single" w:color="A6A6A6" w:themeColor="background1" w:themeShade="A6" w:sz="4" w:space="0"/>
              <w:left w:val="single" w:color="A6A6A6" w:themeColor="background1" w:themeShade="A6" w:sz="6" w:space="0"/>
              <w:bottom w:val="single" w:color="A6A6A6" w:themeColor="background1" w:themeShade="A6" w:sz="4" w:space="0"/>
              <w:right w:val="single" w:color="A6A6A6" w:themeColor="background1" w:themeShade="A6" w:sz="4" w:space="0"/>
              <w:tl2br w:val="none" w:color="auto" w:sz="0" w:space="0"/>
              <w:tr2bl w:val="none" w:color="auto" w:sz="0" w:space="0"/>
            </w:tcBorders>
            <w:shd w:val="clear" w:color="auto" w:themeFill="accent1" w:themeFillTint="33" w:themeFillShade="FF"/>
            <w:vAlign w:val="center"/>
          </w:tcPr>
          <w:p>
            <w:pPr>
              <w:pStyle w:val="0"/>
              <w:spacing w:before="67" w:beforeLines="20" w:beforeAutospacing="0" w:after="67" w:afterLines="20" w:afterAutospacing="0" w:line="260" w:lineRule="exact"/>
              <w:ind w:left="315" w:hanging="315" w:hangingChars="150"/>
              <w:jc w:val="left"/>
              <w:rPr>
                <w:rFonts w:hint="eastAsia"/>
                <w:color w:val="000000" w:themeColor="text1"/>
              </w:rPr>
            </w:pPr>
            <w:r>
              <w:rPr>
                <w:rFonts w:hint="eastAsia" w:ascii="メイリオ" w:hAnsi="メイリオ" w:eastAsia="メイリオ"/>
                <w:color w:val="000000" w:themeColor="text1"/>
              </w:rPr>
              <w:t>④</w:t>
            </w:r>
            <w:r>
              <w:rPr>
                <w:rFonts w:hint="eastAsia" w:ascii="メイリオ" w:hAnsi="メイリオ" w:eastAsia="メイリオ"/>
                <w:color w:val="000000" w:themeColor="text1"/>
              </w:rPr>
              <w:t xml:space="preserve"> </w:t>
            </w:r>
            <w:r>
              <w:rPr>
                <w:rFonts w:hint="eastAsia" w:ascii="メイリオ" w:hAnsi="メイリオ" w:eastAsia="メイリオ"/>
                <w:color w:val="000000" w:themeColor="text1"/>
              </w:rPr>
              <w:t>ケアプラン点検数</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l2br w:val="none" w:color="auto" w:sz="0" w:space="0"/>
              <w:tr2bl w:val="none" w:color="auto" w:sz="0" w:space="0"/>
            </w:tcBorders>
            <w:vAlign w:val="center"/>
          </w:tcPr>
          <w:p>
            <w:pPr>
              <w:pStyle w:val="0"/>
              <w:spacing w:line="280" w:lineRule="exact"/>
              <w:ind w:left="105" w:leftChars="50" w:right="105" w:rightChars="50"/>
              <w:jc w:val="center"/>
              <w:rPr>
                <w:rFonts w:hint="eastAsia"/>
                <w:color w:val="000000" w:themeColor="text1"/>
              </w:rPr>
            </w:pPr>
            <w:r>
              <w:rPr>
                <w:rFonts w:hint="eastAsia" w:ascii="メイリオ" w:hAnsi="メイリオ" w:eastAsia="メイリオ"/>
                <w:b w:val="0"/>
                <w:color w:val="000000" w:themeColor="text1"/>
                <w:u w:val="none" w:color="auto"/>
              </w:rPr>
              <w:t>１回</w:t>
            </w:r>
          </w:p>
        </w:tc>
        <w:tc>
          <w:tcPr>
            <w:tcW w:w="23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6" w:space="0"/>
              <w:tl2br w:val="none" w:color="auto" w:sz="0" w:space="0"/>
              <w:tr2bl w:val="none" w:color="auto" w:sz="0" w:space="0"/>
            </w:tcBorders>
            <w:shd w:val="clear" w:color="auto" w:themeFill="background1" w:themeFillTint="FF" w:themeFillShade="FF"/>
            <w:vAlign w:val="center"/>
          </w:tcPr>
          <w:p>
            <w:pPr>
              <w:pStyle w:val="0"/>
              <w:spacing w:line="280" w:lineRule="exact"/>
              <w:ind w:right="105" w:rightChars="50"/>
              <w:jc w:val="center"/>
              <w:rPr>
                <w:rFonts w:hint="eastAsia"/>
                <w:color w:val="000000" w:themeColor="text1"/>
              </w:rPr>
            </w:pPr>
            <w:r>
              <w:rPr>
                <w:rFonts w:hint="eastAsia" w:ascii="メイリオ" w:hAnsi="メイリオ" w:eastAsia="メイリオ"/>
                <w:b w:val="0"/>
                <w:color w:val="000000" w:themeColor="text1"/>
                <w:u w:val="none" w:color="auto"/>
              </w:rPr>
              <w:t>１回</w:t>
            </w:r>
          </w:p>
        </w:tc>
      </w:tr>
    </w:tbl>
    <w:p>
      <w:pPr>
        <w:pStyle w:val="0"/>
        <w:widowControl w:val="1"/>
        <w:rPr>
          <w:rFonts w:hint="default" w:ascii="メイリオ" w:hAnsi="メイリオ" w:eastAsia="メイリオ"/>
          <w:color w:val="000000" w:themeColor="text1"/>
          <w:sz w:val="24"/>
        </w:rPr>
      </w:pPr>
    </w:p>
    <w:p>
      <w:pPr>
        <w:pStyle w:val="0"/>
        <w:ind w:left="314" w:leftChars="50" w:hanging="209" w:hangingChars="95"/>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※①</w:t>
      </w:r>
      <w:r>
        <w:rPr>
          <w:rFonts w:hint="eastAsia" w:ascii="メイリオ" w:hAnsi="メイリオ" w:eastAsia="メイリオ"/>
          <w:color w:val="000000" w:themeColor="text1"/>
        </w:rPr>
        <w:t xml:space="preserve"> </w:t>
      </w:r>
      <w:r>
        <w:rPr>
          <w:rFonts w:hint="eastAsia" w:ascii="メイリオ" w:hAnsi="メイリオ" w:eastAsia="メイリオ"/>
          <w:color w:val="000000" w:themeColor="text1"/>
        </w:rPr>
        <w:t>要介護認定等の状況は、介護保険事業状況報告（</w:t>
      </w:r>
      <w:r>
        <w:rPr>
          <w:rFonts w:hint="eastAsia" w:ascii="メイリオ" w:hAnsi="メイリオ" w:eastAsia="メイリオ"/>
          <w:color w:val="000000" w:themeColor="text1"/>
        </w:rPr>
        <w:t>10</w:t>
      </w:r>
      <w:r>
        <w:rPr>
          <w:rFonts w:hint="eastAsia" w:ascii="メイリオ" w:hAnsi="メイリオ" w:eastAsia="メイリオ"/>
          <w:color w:val="000000" w:themeColor="text1"/>
        </w:rPr>
        <w:t>月分）より算出</w:t>
      </w:r>
    </w:p>
    <w:p>
      <w:pPr>
        <w:pStyle w:val="0"/>
        <w:ind w:left="314" w:leftChars="50" w:hanging="209" w:hangingChars="95"/>
        <w:rPr>
          <w:rFonts w:hint="default" w:ascii="メイリオ" w:hAnsi="メイリオ" w:eastAsia="メイリオ"/>
          <w:color w:val="000000" w:themeColor="text1"/>
          <w:sz w:val="22"/>
        </w:rPr>
      </w:pPr>
      <w:r>
        <w:rPr>
          <w:rFonts w:hint="eastAsia" w:ascii="メイリオ" w:hAnsi="メイリオ" w:eastAsia="メイリオ"/>
          <w:color w:val="000000" w:themeColor="text1"/>
          <w:sz w:val="22"/>
        </w:rPr>
        <w:t>※②後期高齢者検診受診率は、国保データベース（</w:t>
      </w:r>
      <w:r>
        <w:rPr>
          <w:rFonts w:hint="eastAsia" w:ascii="メイリオ" w:hAnsi="メイリオ" w:eastAsia="メイリオ"/>
          <w:color w:val="000000" w:themeColor="text1"/>
          <w:sz w:val="22"/>
        </w:rPr>
        <w:t>KDB</w:t>
      </w:r>
      <w:r>
        <w:rPr>
          <w:rFonts w:hint="eastAsia" w:ascii="メイリオ" w:hAnsi="メイリオ" w:eastAsia="メイリオ"/>
          <w:color w:val="000000" w:themeColor="text1"/>
          <w:sz w:val="22"/>
        </w:rPr>
        <w:t>）システムより出典（令和４年度データ）</w:t>
      </w:r>
    </w:p>
    <w:p>
      <w:pPr>
        <w:pStyle w:val="0"/>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br w:type="page"/>
      </w:r>
    </w:p>
    <w:p>
      <w:pPr>
        <w:pStyle w:val="40"/>
        <w:rPr>
          <w:rFonts w:hint="default"/>
          <w:color w:val="000000" w:themeColor="text1"/>
        </w:rPr>
      </w:pPr>
      <w:r>
        <w:rPr>
          <w:rFonts w:hint="eastAsia"/>
          <w:color w:val="000000" w:themeColor="text1"/>
        </w:rPr>
        <w:t>２　計画の実施状況の点検・評価</w:t>
      </w:r>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計画に基づく施策を総合的・計画的に推進し、実効性を確保するには、計画の進行状況の定期的なフォローアップが必要です。</w:t>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基本施策（第４章）に掲げる各事業は、各年度の事業の実績・進捗状況を点検し、課題の整理や改善への取り組みを行い、</w:t>
      </w:r>
      <w:r>
        <w:rPr>
          <w:rFonts w:hint="default" w:ascii="メイリオ" w:hAnsi="メイリオ" w:eastAsia="メイリオ"/>
          <w:color w:val="000000" w:themeColor="text1"/>
          <w:sz w:val="24"/>
        </w:rPr>
        <w:t>PDCA</w:t>
      </w:r>
      <w:r>
        <w:rPr>
          <w:rFonts w:hint="default" w:ascii="メイリオ" w:hAnsi="メイリオ" w:eastAsia="メイリオ"/>
          <w:color w:val="000000" w:themeColor="text1"/>
          <w:sz w:val="24"/>
        </w:rPr>
        <w:t>サイクルによる効率的な施策の進行管理に努めます。</w:t>
      </w:r>
    </w:p>
    <w:p>
      <w:pPr>
        <w:pStyle w:val="0"/>
        <w:widowControl w:val="1"/>
        <w:jc w:val="left"/>
        <w:rPr>
          <w:rFonts w:hint="default" w:ascii="メイリオ" w:hAnsi="メイリオ" w:eastAsia="メイリオ"/>
          <w:color w:val="000000" w:themeColor="text1"/>
          <w:sz w:val="24"/>
        </w:rPr>
      </w:pPr>
    </w:p>
    <w:p>
      <w:pPr>
        <w:pStyle w:val="40"/>
        <w:rPr>
          <w:rFonts w:hint="default"/>
          <w:color w:val="000000" w:themeColor="text1"/>
        </w:rPr>
      </w:pPr>
      <w:r>
        <w:rPr>
          <w:rFonts w:hint="eastAsia"/>
          <w:color w:val="000000" w:themeColor="text1"/>
        </w:rPr>
        <w:t>３　陸別町地域包括ケアシステム推進会議</w:t>
      </w:r>
      <w:r>
        <w:rPr>
          <w:rFonts w:hint="default"/>
          <w:color w:val="000000" w:themeColor="text1"/>
        </w:rPr>
        <w:tab/>
      </w:r>
    </w:p>
    <w:p>
      <w:pPr>
        <w:pStyle w:val="0"/>
        <w:widowControl w:val="1"/>
        <w:ind w:firstLine="240" w:firstLineChars="1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同会議を適宜開催し様々な立場の関係機関からの幅広い意見を基に、計画の達成状況や給付実績等のモニタリングを行い、事業計画及び事業の円滑な運営を推進していきます。</w:t>
      </w: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rPr>
          <w:rFonts w:hint="default" w:ascii="メイリオ" w:hAnsi="メイリオ" w:eastAsia="メイリオ"/>
          <w:sz w:val="24"/>
        </w:rPr>
        <w:sectPr>
          <w:headerReference r:id="rId6" w:type="default"/>
          <w:footerReference r:id="rId7" w:type="default"/>
          <w:type w:val="continuous"/>
          <w:pgSz w:w="11906" w:h="16838"/>
          <w:pgMar w:top="1701" w:right="1701" w:bottom="1701" w:left="1701" w:header="851" w:footer="992" w:gutter="0"/>
          <w:pgNumType w:start="0"/>
          <w:cols w:space="720"/>
          <w:titlePg w:val="1"/>
          <w:textDirection w:val="lrTb"/>
          <w:docGrid w:linePitch="335"/>
        </w:sect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p>
    <w:p>
      <w:pPr>
        <w:pStyle w:val="0"/>
        <w:widowControl w:val="1"/>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mc:AlternateContent>
          <mc:Choice Requires="wps">
            <w:drawing>
              <wp:anchor distT="0" distB="0" distL="114300" distR="114300" simplePos="0" relativeHeight="2" behindDoc="1" locked="0" layoutInCell="1" hidden="0" allowOverlap="1">
                <wp:simplePos x="0" y="0"/>
                <wp:positionH relativeFrom="column">
                  <wp:posOffset>227330</wp:posOffset>
                </wp:positionH>
                <wp:positionV relativeFrom="paragraph">
                  <wp:posOffset>151130</wp:posOffset>
                </wp:positionV>
                <wp:extent cx="5081905" cy="3178810"/>
                <wp:effectExtent l="19685" t="19685" r="29845" b="20320"/>
                <wp:wrapNone/>
                <wp:docPr id="1088" name="四角形: 角を丸くする 1"/>
                <a:graphic xmlns:a="http://schemas.openxmlformats.org/drawingml/2006/main">
                  <a:graphicData uri="http://schemas.microsoft.com/office/word/2010/wordprocessingShape">
                    <wps:wsp>
                      <wps:cNvPr id="1088" name="四角形: 角を丸くする 1"/>
                      <wps:cNvSpPr/>
                      <wps:spPr>
                        <a:xfrm>
                          <a:off x="0" y="0"/>
                          <a:ext cx="5081905" cy="3178810"/>
                        </a:xfrm>
                        <a:prstGeom prst="roundRect">
                          <a:avLst>
                            <a:gd name="adj" fmla="val 6633"/>
                          </a:avLst>
                        </a:prstGeom>
                        <a:solidFill>
                          <a:schemeClr val="bg1">
                            <a:lumMod val="85000"/>
                          </a:schemeClr>
                        </a:solidFill>
                        <a:ln w="34925" cmpd="thickThi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 style="mso-position-vertical-relative:text;z-index:-503316478;mso-wrap-distance-left:9pt;width:400.15pt;height:250.3pt;mso-position-horizontal-relative:text;position:absolute;margin-left:17.89pt;margin-top:11.9pt;mso-wrap-distance-bottom:0pt;mso-wrap-distance-right:9pt;mso-wrap-distance-top:0pt;" o:spid="_x0000_s1088" o:allowincell="t" o:allowoverlap="t" filled="t" fillcolor="#d9d9d9 [2732]" stroked="t" strokecolor="#000000 [3213]" strokeweight="2.75pt" o:spt="2" arcsize="4348f">
                <v:fill/>
                <v:stroke linestyle="thickThin" miterlimit="8" endcap="flat" dashstyle="solid" filltype="solid"/>
                <v:textbox style="layout-flow:horizontal;"/>
                <v:imagedata o:title=""/>
                <w10:wrap type="none" anchorx="text" anchory="text"/>
              </v:roundrect>
            </w:pict>
          </mc:Fallback>
        </mc:AlternateContent>
      </w:r>
    </w:p>
    <w:p>
      <w:pPr>
        <w:pStyle w:val="0"/>
        <w:widowControl w:val="1"/>
        <w:ind w:firstLine="1440" w:firstLineChars="6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第</w:t>
      </w:r>
      <w:r>
        <w:rPr>
          <w:rFonts w:hint="eastAsia" w:ascii="メイリオ" w:hAnsi="メイリオ" w:eastAsia="メイリオ"/>
          <w:color w:val="000000" w:themeColor="text1"/>
          <w:sz w:val="24"/>
        </w:rPr>
        <w:t>9</w:t>
      </w:r>
      <w:r>
        <w:rPr>
          <w:rFonts w:hint="eastAsia" w:ascii="メイリオ" w:hAnsi="メイリオ" w:eastAsia="メイリオ"/>
          <w:color w:val="000000" w:themeColor="text1"/>
          <w:sz w:val="24"/>
        </w:rPr>
        <w:t>期陸別町高齢者保健福祉計画・介護保険事業計画</w:t>
      </w:r>
    </w:p>
    <w:p>
      <w:pPr>
        <w:pStyle w:val="0"/>
        <w:widowControl w:val="1"/>
        <w:jc w:val="left"/>
        <w:rPr>
          <w:rFonts w:hint="default" w:ascii="メイリオ" w:hAnsi="メイリオ" w:eastAsia="メイリオ"/>
          <w:color w:val="000000" w:themeColor="text1"/>
          <w:sz w:val="24"/>
        </w:rPr>
      </w:pPr>
    </w:p>
    <w:p>
      <w:pPr>
        <w:pStyle w:val="0"/>
        <w:widowControl w:val="1"/>
        <w:ind w:firstLine="1200" w:firstLineChars="5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発行日　　　令和</w:t>
      </w:r>
      <w:r>
        <w:rPr>
          <w:rFonts w:hint="eastAsia" w:ascii="メイリオ" w:hAnsi="メイリオ" w:eastAsia="メイリオ"/>
          <w:color w:val="000000" w:themeColor="text1"/>
          <w:sz w:val="24"/>
        </w:rPr>
        <w:t>6</w:t>
      </w:r>
      <w:r>
        <w:rPr>
          <w:rFonts w:hint="eastAsia" w:ascii="メイリオ" w:hAnsi="メイリオ" w:eastAsia="メイリオ"/>
          <w:color w:val="000000" w:themeColor="text1"/>
          <w:sz w:val="24"/>
        </w:rPr>
        <w:t>年</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月</w:t>
      </w:r>
    </w:p>
    <w:p>
      <w:pPr>
        <w:pStyle w:val="0"/>
        <w:widowControl w:val="1"/>
        <w:ind w:firstLine="1200" w:firstLineChars="5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企画・編集　陸別町　保健福祉センター</w:t>
      </w:r>
    </w:p>
    <w:p>
      <w:pPr>
        <w:pStyle w:val="0"/>
        <w:widowControl w:val="1"/>
        <w:ind w:firstLine="1200" w:firstLineChars="5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住所　　　　〒</w:t>
      </w:r>
      <w:r>
        <w:rPr>
          <w:rFonts w:hint="eastAsia" w:ascii="メイリオ" w:hAnsi="メイリオ" w:eastAsia="メイリオ"/>
          <w:color w:val="000000" w:themeColor="text1"/>
          <w:sz w:val="24"/>
        </w:rPr>
        <w:t>089</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4312</w:t>
      </w:r>
    </w:p>
    <w:p>
      <w:pPr>
        <w:pStyle w:val="0"/>
        <w:widowControl w:val="1"/>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　　　　　　　　　　　北海道足寄郡陸別町東</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条</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丁目</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番地</w:t>
      </w:r>
    </w:p>
    <w:p>
      <w:pPr>
        <w:pStyle w:val="0"/>
        <w:widowControl w:val="1"/>
        <w:ind w:firstLine="1200" w:firstLineChars="5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TEL</w:t>
      </w:r>
      <w:r>
        <w:rPr>
          <w:rFonts w:hint="eastAsia" w:ascii="メイリオ" w:hAnsi="メイリオ" w:eastAsia="メイリオ"/>
          <w:color w:val="000000" w:themeColor="text1"/>
          <w:sz w:val="24"/>
        </w:rPr>
        <w:t>　　　　</w:t>
      </w:r>
      <w:r>
        <w:rPr>
          <w:rFonts w:hint="eastAsia" w:ascii="メイリオ" w:hAnsi="メイリオ" w:eastAsia="メイリオ"/>
          <w:color w:val="000000" w:themeColor="text1"/>
          <w:sz w:val="24"/>
        </w:rPr>
        <w:t>0156</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27</w:t>
      </w:r>
      <w:r>
        <w:rPr>
          <w:rFonts w:hint="eastAsia" w:ascii="メイリオ" w:hAnsi="メイリオ" w:eastAsia="メイリオ"/>
          <w:color w:val="000000" w:themeColor="text1"/>
          <w:sz w:val="24"/>
        </w:rPr>
        <w:t>－</w:t>
      </w:r>
      <w:r>
        <w:rPr>
          <w:rFonts w:hint="eastAsia" w:ascii="メイリオ" w:hAnsi="メイリオ" w:eastAsia="メイリオ"/>
          <w:color w:val="000000" w:themeColor="text1"/>
          <w:sz w:val="24"/>
        </w:rPr>
        <w:t>8001</w:t>
      </w:r>
    </w:p>
    <w:p>
      <w:pPr>
        <w:pStyle w:val="0"/>
        <w:widowControl w:val="1"/>
        <w:ind w:firstLine="1200" w:firstLineChars="500"/>
        <w:jc w:val="left"/>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E-Mail</w:t>
      </w:r>
      <w:r>
        <w:rPr>
          <w:rFonts w:hint="eastAsia" w:ascii="メイリオ" w:hAnsi="メイリオ" w:eastAsia="メイリオ"/>
          <w:color w:val="000000" w:themeColor="text1"/>
          <w:sz w:val="24"/>
        </w:rPr>
        <w:t>　　　</w:t>
      </w:r>
      <w:r>
        <w:rPr>
          <w:rFonts w:hint="default" w:ascii="メイリオ" w:hAnsi="メイリオ" w:eastAsia="メイリオ"/>
          <w:color w:val="000000" w:themeColor="text1"/>
          <w:sz w:val="24"/>
        </w:rPr>
        <w:t>kaigo@rikubetsu.jp</w:t>
      </w:r>
    </w:p>
    <w:p>
      <w:pPr>
        <w:pStyle w:val="0"/>
        <w:widowControl w:val="1"/>
        <w:ind w:firstLine="1200" w:firstLineChars="500"/>
        <w:jc w:val="left"/>
        <w:rPr>
          <w:rFonts w:hint="default" w:ascii="メイリオ" w:hAnsi="メイリオ" w:eastAsia="メイリオ"/>
          <w:color w:val="000000" w:themeColor="text1"/>
          <w:sz w:val="24"/>
        </w:rPr>
      </w:pPr>
      <w:r>
        <w:rPr>
          <w:rFonts w:hint="default" w:ascii="メイリオ" w:hAnsi="メイリオ" w:eastAsia="メイリオ"/>
          <w:color w:val="000000" w:themeColor="text1"/>
          <w:sz w:val="24"/>
        </w:rPr>
        <w:t>URL        http</w:t>
      </w:r>
      <w:r>
        <w:rPr>
          <w:rFonts w:hint="eastAsia" w:ascii="メイリオ" w:hAnsi="メイリオ" w:eastAsia="メイリオ"/>
          <w:color w:val="000000" w:themeColor="text1"/>
          <w:sz w:val="24"/>
        </w:rPr>
        <w:t>s</w:t>
      </w:r>
      <w:r>
        <w:rPr>
          <w:rFonts w:hint="default" w:ascii="メイリオ" w:hAnsi="メイリオ" w:eastAsia="メイリオ"/>
          <w:color w:val="000000" w:themeColor="text1"/>
          <w:sz w:val="24"/>
        </w:rPr>
        <w:t>://www.rikubetsu.jp/</w:t>
      </w:r>
    </w:p>
    <w:sectPr>
      <w:pgSz w:w="11906" w:h="16838"/>
      <w:pgMar w:top="1701" w:right="1701" w:bottom="1701" w:left="1701" w:header="851" w:footer="992" w:gutter="0"/>
      <w:pgNumType w:start="0"/>
      <w:cols w:space="720"/>
      <w:titlePg w:val="1"/>
      <w:textDirection w:val="lrTb"/>
      <w:docGrid w:linePitch="33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865707415"/>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0"/>
      <w:rPr>
        <w:rFonts w:hint="default"/>
      </w:rPr>
    </w:pPr>
  </w:p>
</w:ftr>
</file>

<file path=word/footnotes.xml><?xml version="1.0" encoding="utf-8"?>
<w:footnot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otnote w:id="1">
    <w:p>
      <w:pPr>
        <w:pStyle w:val="24"/>
        <w:rPr>
          <w:rFonts w:hint="default"/>
        </w:rPr>
      </w:pPr>
      <w:r>
        <w:rPr>
          <w:rFonts w:hint="eastAsia"/>
        </w:rPr>
        <w:t xml:space="preserve"> </w:t>
      </w:r>
      <w:r>
        <w:rPr>
          <w:rStyle w:val="23"/>
          <w:rFonts w:hint="eastAsia"/>
          <w:sz w:val="24"/>
        </w:rPr>
        <w:footnoteRef/>
      </w:r>
      <w:r>
        <w:rPr>
          <w:rFonts w:hint="default"/>
          <w:sz w:val="24"/>
        </w:rPr>
        <w:t xml:space="preserve"> </w:t>
      </w:r>
      <w:r>
        <w:rPr>
          <w:rFonts w:hint="eastAsia"/>
        </w:rPr>
        <w:t>地域包括ケアシステム：高齢者が住み慣れた地域で自分らしい暮らしを人生の最後ま</w:t>
      </w:r>
    </w:p>
    <w:p>
      <w:pPr>
        <w:pStyle w:val="24"/>
        <w:ind w:firstLine="315" w:firstLineChars="150"/>
        <w:rPr>
          <w:rFonts w:hint="default"/>
        </w:rPr>
      </w:pPr>
      <w:r>
        <w:rPr>
          <w:rFonts w:hint="eastAsia"/>
        </w:rPr>
        <w:t>で送れるよう、医療、介護、健康づくり、介護予防、住まい、生活支援が切れ目なく</w:t>
      </w:r>
    </w:p>
    <w:p>
      <w:pPr>
        <w:pStyle w:val="24"/>
        <w:ind w:firstLine="315" w:firstLineChars="150"/>
        <w:rPr>
          <w:rFonts w:hint="default"/>
        </w:rPr>
      </w:pPr>
      <w:r>
        <w:rPr>
          <w:rFonts w:hint="eastAsia"/>
        </w:rPr>
        <w:t>一体的に提供される体制のこと</w:t>
      </w:r>
      <w:r>
        <w:rPr>
          <w:rFonts w:hint="eastAsia"/>
          <w:color w:val="000000" w:themeColor="text1"/>
        </w:rPr>
        <w:t>。</w:t>
      </w:r>
    </w:p>
  </w:footnote>
</w:footnote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88E2C4DE"/>
    <w:lvl w:ilvl="0" w:tplc="07A20D4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68DAF670"/>
    <w:lvl w:ilvl="0" w:tplc="BBE6DB52">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68DAF670"/>
    <w:lvl w:ilvl="0" w:tplc="BBE6DB52">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68DAF670"/>
    <w:lvl w:ilvl="0" w:tplc="BBE6DB52">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0000005"/>
    <w:multiLevelType w:val="hybridMultilevel"/>
    <w:tmpl w:val="215C1F9C"/>
    <w:lvl w:ilvl="0" w:tplc="72BCEF8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00000006"/>
    <w:multiLevelType w:val="hybridMultilevel"/>
    <w:tmpl w:val="77928EAA"/>
    <w:lvl w:ilvl="0" w:tplc="30B2ABD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00000007"/>
    <w:multiLevelType w:val="hybridMultilevel"/>
    <w:tmpl w:val="3F2AB910"/>
    <w:lvl w:ilvl="0" w:tplc="0244600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00000008"/>
    <w:multiLevelType w:val="hybridMultilevel"/>
    <w:tmpl w:val="6B981210"/>
    <w:lvl w:ilvl="0" w:tplc="78E0C04A">
      <w:start w:val="1"/>
      <w:numFmt w:val="decimalEnclosedCircle"/>
      <w:lvlText w:val="%1"/>
      <w:lvlJc w:val="left"/>
      <w:pPr>
        <w:ind w:left="643" w:hanging="360"/>
      </w:pPr>
      <w:rPr>
        <w:rFonts w:hint="default"/>
      </w:r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8">
    <w:nsid w:val="00000009"/>
    <w:multiLevelType w:val="hybridMultilevel"/>
    <w:tmpl w:val="C616D430"/>
    <w:lvl w:ilvl="0" w:tplc="CD280B8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nsid w:val="0000000A"/>
    <w:multiLevelType w:val="hybridMultilevel"/>
    <w:tmpl w:val="C5444EE2"/>
    <w:lvl w:ilvl="0" w:tplc="C6E0F36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nsid w:val="0000000B"/>
    <w:multiLevelType w:val="hybridMultilevel"/>
    <w:tmpl w:val="3FB0BCBE"/>
    <w:lvl w:ilvl="0" w:tplc="7B9A421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nsid w:val="0000000C"/>
    <w:multiLevelType w:val="hybridMultilevel"/>
    <w:tmpl w:val="C2D2982C"/>
    <w:lvl w:ilvl="0" w:tplc="04090011">
      <w:start w:val="1"/>
      <w:numFmt w:val="decimalEnclosedCircle"/>
      <w:lvlText w:val="%1"/>
      <w:lvlJc w:val="left"/>
      <w:pPr>
        <w:ind w:left="525" w:hanging="420"/>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2">
    <w:nsid w:val="0000000D"/>
    <w:multiLevelType w:val="hybridMultilevel"/>
    <w:tmpl w:val="6B6A39AE"/>
    <w:lvl w:ilvl="0" w:tplc="7970245C">
      <w:numFmt w:val="bullet"/>
      <w:lvlText w:val=""/>
      <w:lvlJc w:val="left"/>
      <w:pPr>
        <w:ind w:left="420" w:hanging="420"/>
      </w:pPr>
      <w:rPr>
        <w:rFonts w:hint="default" w:ascii="Wingdings" w:hAnsi="Wingdings"/>
      </w:rPr>
    </w:lvl>
    <w:lvl w:ilvl="1" w:tplc="0409000B">
      <w:numFmt w:val="bullet"/>
      <w:lvlText w:val=""/>
      <w:lvlJc w:val="left"/>
      <w:pPr>
        <w:ind w:left="1890" w:hanging="420"/>
      </w:pPr>
      <w:rPr>
        <w:rFonts w:hint="default" w:ascii="Wingdings" w:hAnsi="Wingdings"/>
      </w:rPr>
    </w:lvl>
    <w:lvl w:ilvl="2" w:tplc="0409000D">
      <w:numFmt w:val="bullet"/>
      <w:lvlText w:val=""/>
      <w:lvlJc w:val="left"/>
      <w:pPr>
        <w:ind w:left="2310" w:hanging="420"/>
      </w:pPr>
      <w:rPr>
        <w:rFonts w:hint="default" w:ascii="Wingdings" w:hAnsi="Wingdings"/>
      </w:rPr>
    </w:lvl>
    <w:lvl w:ilvl="3" w:tplc="04090001">
      <w:numFmt w:val="bullet"/>
      <w:lvlText w:val=""/>
      <w:lvlJc w:val="left"/>
      <w:pPr>
        <w:ind w:left="2730" w:hanging="420"/>
      </w:pPr>
      <w:rPr>
        <w:rFonts w:hint="default" w:ascii="Wingdings" w:hAnsi="Wingdings"/>
      </w:rPr>
    </w:lvl>
    <w:lvl w:ilvl="4" w:tplc="0409000B">
      <w:numFmt w:val="bullet"/>
      <w:lvlText w:val=""/>
      <w:lvlJc w:val="left"/>
      <w:pPr>
        <w:ind w:left="3150" w:hanging="420"/>
      </w:pPr>
      <w:rPr>
        <w:rFonts w:hint="default" w:ascii="Wingdings" w:hAnsi="Wingdings"/>
      </w:rPr>
    </w:lvl>
    <w:lvl w:ilvl="5" w:tplc="0409000D">
      <w:numFmt w:val="bullet"/>
      <w:lvlText w:val=""/>
      <w:lvlJc w:val="left"/>
      <w:pPr>
        <w:ind w:left="3570" w:hanging="420"/>
      </w:pPr>
      <w:rPr>
        <w:rFonts w:hint="default" w:ascii="Wingdings" w:hAnsi="Wingdings"/>
      </w:rPr>
    </w:lvl>
    <w:lvl w:ilvl="6" w:tplc="04090001">
      <w:numFmt w:val="bullet"/>
      <w:lvlText w:val=""/>
      <w:lvlJc w:val="left"/>
      <w:pPr>
        <w:ind w:left="3990" w:hanging="420"/>
      </w:pPr>
      <w:rPr>
        <w:rFonts w:hint="default" w:ascii="Wingdings" w:hAnsi="Wingdings"/>
      </w:rPr>
    </w:lvl>
    <w:lvl w:ilvl="7" w:tplc="0409000B">
      <w:numFmt w:val="bullet"/>
      <w:lvlText w:val=""/>
      <w:lvlJc w:val="left"/>
      <w:pPr>
        <w:ind w:left="4410" w:hanging="420"/>
      </w:pPr>
      <w:rPr>
        <w:rFonts w:hint="default" w:ascii="Wingdings" w:hAnsi="Wingdings"/>
      </w:rPr>
    </w:lvl>
    <w:lvl w:ilvl="8" w:tplc="0409000D">
      <w:numFmt w:val="bullet"/>
      <w:lvlText w:val=""/>
      <w:lvlJc w:val="left"/>
      <w:pPr>
        <w:ind w:left="4830"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isplayBackgroundShape/>
  <w:bordersDoNotSurroundHeader/>
  <w:bordersDoNotSurroundFooter/>
  <w:defaultTabStop w:val="840"/>
  <w:defaultTableStyle w:val="72"/>
  <w:drawingGridHorizontalSpacing w:val="105"/>
  <w:drawingGridVerticalSpacing w:val="335"/>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44"/>
    <w:uiPriority w:val="0"/>
    <w:qFormat/>
    <w:pPr>
      <w:keepNext w:val="1"/>
      <w:outlineLvl w:val="0"/>
    </w:pPr>
    <w:rPr>
      <w:rFonts w:asciiTheme="majorHAnsi" w:hAnsiTheme="majorHAnsi" w:eastAsiaTheme="majorEastAsia"/>
      <w:sz w:val="24"/>
    </w:rPr>
  </w:style>
  <w:style w:type="paragraph" w:styleId="2">
    <w:name w:val="heading 2"/>
    <w:basedOn w:val="0"/>
    <w:next w:val="0"/>
    <w:link w:val="45"/>
    <w:uiPriority w:val="0"/>
    <w:qFormat/>
    <w:pPr>
      <w:keepNext w:val="1"/>
      <w:outlineLvl w:val="1"/>
    </w:pPr>
    <w:rPr>
      <w:rFonts w:asciiTheme="majorHAnsi" w:hAnsiTheme="majorHAnsi" w:eastAsiaTheme="majorEastAsia"/>
    </w:rPr>
  </w:style>
  <w:style w:type="paragraph" w:styleId="3">
    <w:name w:val="heading 3"/>
    <w:next w:val="0"/>
    <w:link w:val="32"/>
    <w:uiPriority w:val="0"/>
    <w:qFormat/>
    <w:pPr>
      <w:keepNext w:val="1"/>
      <w:autoSpaceDE w:val="0"/>
      <w:autoSpaceDN w:val="0"/>
      <w:ind w:left="100" w:leftChars="100"/>
      <w:outlineLvl w:val="2"/>
    </w:pPr>
    <w:rPr>
      <w:rFonts w:ascii="ＭＳ ゴシック" w:hAnsi="ＭＳ ゴシック" w:eastAsia="ＭＳ ゴシック"/>
      <w:sz w:val="24"/>
    </w:rPr>
  </w:style>
  <w:style w:type="paragraph" w:styleId="4">
    <w:name w:val="heading 4"/>
    <w:next w:val="0"/>
    <w:link w:val="33"/>
    <w:uiPriority w:val="0"/>
    <w:qFormat/>
    <w:pPr>
      <w:keepNext w:val="1"/>
      <w:autoSpaceDE w:val="0"/>
      <w:autoSpaceDN w:val="0"/>
      <w:ind w:left="350" w:leftChars="250" w:hanging="100" w:hangingChars="100"/>
      <w:outlineLvl w:val="3"/>
    </w:pPr>
    <w:rPr>
      <w:rFonts w:ascii="ＭＳ 明朝" w:hAnsi="ＭＳ 明朝" w:eastAsia="ＭＳ 明朝"/>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 Spacing"/>
    <w:next w:val="15"/>
    <w:link w:val="16"/>
    <w:uiPriority w:val="0"/>
    <w:qFormat/>
    <w:rPr>
      <w:kern w:val="0"/>
      <w:sz w:val="22"/>
    </w:rPr>
  </w:style>
  <w:style w:type="character" w:styleId="16" w:customStyle="1">
    <w:name w:val="行間詰め (文字)"/>
    <w:basedOn w:val="10"/>
    <w:next w:val="16"/>
    <w:link w:val="15"/>
    <w:uiPriority w:val="0"/>
    <w:rPr>
      <w:kern w:val="0"/>
      <w:sz w:val="22"/>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Body Text"/>
    <w:basedOn w:val="0"/>
    <w:next w:val="21"/>
    <w:link w:val="22"/>
    <w:uiPriority w:val="0"/>
    <w:qFormat/>
    <w:pPr>
      <w:autoSpaceDE w:val="0"/>
      <w:autoSpaceDN w:val="0"/>
      <w:spacing w:line="400" w:lineRule="exact"/>
      <w:ind w:left="440" w:leftChars="200" w:right="220" w:rightChars="100" w:firstLine="240" w:firstLineChars="100"/>
    </w:pPr>
    <w:rPr>
      <w:rFonts w:ascii="メイリオ" w:hAnsi="メイリオ" w:eastAsia="メイリオ"/>
      <w:kern w:val="0"/>
      <w:sz w:val="24"/>
    </w:rPr>
  </w:style>
  <w:style w:type="character" w:styleId="22" w:customStyle="1">
    <w:name w:val="本文 (文字)"/>
    <w:basedOn w:val="10"/>
    <w:next w:val="22"/>
    <w:link w:val="21"/>
    <w:uiPriority w:val="0"/>
    <w:rPr>
      <w:rFonts w:ascii="メイリオ" w:hAnsi="メイリオ" w:eastAsia="メイリオ"/>
      <w:kern w:val="0"/>
      <w:sz w:val="24"/>
    </w:rPr>
  </w:style>
  <w:style w:type="character" w:styleId="23">
    <w:name w:val="footnote reference"/>
    <w:basedOn w:val="10"/>
    <w:next w:val="23"/>
    <w:link w:val="0"/>
    <w:uiPriority w:val="0"/>
    <w:semiHidden/>
    <w:rPr>
      <w:vertAlign w:val="superscript"/>
    </w:rPr>
  </w:style>
  <w:style w:type="paragraph" w:styleId="24">
    <w:name w:val="footnote text"/>
    <w:basedOn w:val="0"/>
    <w:next w:val="24"/>
    <w:link w:val="25"/>
    <w:uiPriority w:val="0"/>
    <w:semiHidden/>
    <w:pPr>
      <w:snapToGrid w:val="0"/>
      <w:jc w:val="left"/>
    </w:pPr>
  </w:style>
  <w:style w:type="character" w:styleId="25" w:customStyle="1">
    <w:name w:val="脚注文字列 (文字)"/>
    <w:basedOn w:val="10"/>
    <w:next w:val="25"/>
    <w:link w:val="24"/>
    <w:uiPriority w:val="0"/>
  </w:style>
  <w:style w:type="paragraph" w:styleId="26" w:customStyle="1">
    <w:name w:val="スタイル3"/>
    <w:basedOn w:val="0"/>
    <w:next w:val="26"/>
    <w:link w:val="27"/>
    <w:uiPriority w:val="0"/>
    <w:qFormat/>
    <w:rPr>
      <w:rFonts w:ascii="メイリオ" w:hAnsi="メイリオ" w:eastAsia="メイリオ"/>
      <w:sz w:val="28"/>
    </w:rPr>
  </w:style>
  <w:style w:type="character" w:styleId="27" w:customStyle="1">
    <w:name w:val="スタイル3 (文字)"/>
    <w:basedOn w:val="10"/>
    <w:next w:val="27"/>
    <w:link w:val="26"/>
    <w:uiPriority w:val="0"/>
    <w:rPr>
      <w:rFonts w:ascii="メイリオ" w:hAnsi="メイリオ" w:eastAsia="メイリオ"/>
      <w:sz w:val="28"/>
    </w:rPr>
  </w:style>
  <w:style w:type="paragraph" w:styleId="28" w:customStyle="1">
    <w:name w:val="文"/>
    <w:basedOn w:val="0"/>
    <w:next w:val="28"/>
    <w:link w:val="0"/>
    <w:uiPriority w:val="0"/>
    <w:pPr>
      <w:ind w:left="441" w:leftChars="210" w:firstLine="210" w:firstLineChars="100"/>
    </w:pPr>
    <w:rPr>
      <w:rFonts w:ascii="ＭＳ 明朝" w:hAnsi="ＭＳ 明朝" w:eastAsia="ＭＳ 明朝"/>
    </w:rPr>
  </w:style>
  <w:style w:type="paragraph" w:styleId="29" w:customStyle="1">
    <w:name w:val="（１）"/>
    <w:basedOn w:val="0"/>
    <w:next w:val="30"/>
    <w:link w:val="0"/>
    <w:uiPriority w:val="0"/>
    <w:pPr>
      <w:outlineLvl w:val="2"/>
    </w:pPr>
    <w:rPr>
      <w:rFonts w:ascii="ＭＳ ゴシック" w:hAnsi="ＭＳ ゴシック" w:eastAsia="ＭＳ ゴシック"/>
      <w:sz w:val="24"/>
    </w:rPr>
  </w:style>
  <w:style w:type="paragraph" w:styleId="30">
    <w:name w:val="Plain Text"/>
    <w:basedOn w:val="0"/>
    <w:next w:val="30"/>
    <w:link w:val="31"/>
    <w:uiPriority w:val="0"/>
    <w:rPr>
      <w:rFonts w:asciiTheme="minorEastAsia" w:hAnsiTheme="minorEastAsia"/>
    </w:rPr>
  </w:style>
  <w:style w:type="character" w:styleId="31" w:customStyle="1">
    <w:name w:val="書式なし (文字)"/>
    <w:basedOn w:val="10"/>
    <w:next w:val="31"/>
    <w:link w:val="30"/>
    <w:uiPriority w:val="0"/>
    <w:rPr>
      <w:rFonts w:asciiTheme="minorEastAsia" w:hAnsiTheme="minorEastAsia"/>
    </w:rPr>
  </w:style>
  <w:style w:type="character" w:styleId="32" w:customStyle="1">
    <w:name w:val="見出し 3 (文字)"/>
    <w:basedOn w:val="10"/>
    <w:next w:val="32"/>
    <w:link w:val="3"/>
    <w:uiPriority w:val="0"/>
    <w:rPr>
      <w:rFonts w:ascii="ＭＳ ゴシック" w:hAnsi="ＭＳ ゴシック" w:eastAsia="ＭＳ ゴシック"/>
      <w:sz w:val="24"/>
    </w:rPr>
  </w:style>
  <w:style w:type="character" w:styleId="33" w:customStyle="1">
    <w:name w:val="見出し 4 (文字)"/>
    <w:basedOn w:val="10"/>
    <w:next w:val="33"/>
    <w:link w:val="4"/>
    <w:uiPriority w:val="0"/>
    <w:rPr>
      <w:rFonts w:ascii="ＭＳ 明朝" w:hAnsi="ＭＳ 明朝" w:eastAsia="ＭＳ 明朝"/>
      <w:sz w:val="22"/>
    </w:rPr>
  </w:style>
  <w:style w:type="paragraph" w:styleId="34">
    <w:name w:val="Normal Indent"/>
    <w:basedOn w:val="0"/>
    <w:next w:val="34"/>
    <w:link w:val="0"/>
    <w:uiPriority w:val="0"/>
    <w:pPr>
      <w:ind w:left="840" w:leftChars="400"/>
    </w:pPr>
  </w:style>
  <w:style w:type="paragraph" w:styleId="35">
    <w:name w:val="List Paragraph"/>
    <w:basedOn w:val="0"/>
    <w:next w:val="35"/>
    <w:link w:val="0"/>
    <w:uiPriority w:val="0"/>
    <w:qFormat/>
    <w:pPr>
      <w:ind w:left="840" w:leftChars="400"/>
    </w:pPr>
  </w:style>
  <w:style w:type="paragraph" w:styleId="36" w:customStyle="1">
    <w:name w:val="りくべつ見出し1"/>
    <w:basedOn w:val="0"/>
    <w:next w:val="36"/>
    <w:link w:val="37"/>
    <w:uiPriority w:val="0"/>
    <w:qFormat/>
    <w:pPr>
      <w:widowControl w:val="1"/>
      <w:pBdr>
        <w:top w:val="single" w:color="auto" w:sz="12" w:space="1" w:shadow="1"/>
        <w:left w:val="single" w:color="auto" w:sz="12" w:space="4" w:shadow="1"/>
        <w:bottom w:val="single" w:color="auto" w:sz="12" w:space="1" w:shadow="1"/>
        <w:right w:val="single" w:color="auto" w:sz="12" w:space="4" w:shadow="1"/>
      </w:pBdr>
      <w:jc w:val="left"/>
    </w:pPr>
    <w:rPr>
      <w:rFonts w:ascii="メイリオ" w:hAnsi="メイリオ" w:eastAsia="メイリオ"/>
      <w:b w:val="1"/>
      <w:sz w:val="32"/>
    </w:rPr>
  </w:style>
  <w:style w:type="character" w:styleId="37" w:customStyle="1">
    <w:name w:val="りくべつ見出し1 (文字)"/>
    <w:basedOn w:val="10"/>
    <w:next w:val="37"/>
    <w:link w:val="36"/>
    <w:uiPriority w:val="0"/>
    <w:rPr>
      <w:rFonts w:ascii="メイリオ" w:hAnsi="メイリオ" w:eastAsia="メイリオ"/>
      <w:b w:val="1"/>
      <w:sz w:val="32"/>
    </w:rPr>
  </w:style>
  <w:style w:type="paragraph" w:styleId="38" w:customStyle="1">
    <w:name w:val="りくべつ見出し2"/>
    <w:basedOn w:val="0"/>
    <w:next w:val="38"/>
    <w:link w:val="39"/>
    <w:uiPriority w:val="0"/>
    <w:qFormat/>
    <w:pPr>
      <w:widowControl w:val="1"/>
      <w:pBdr>
        <w:bottom w:val="thinThickMediumGap" w:color="auto" w:sz="12" w:space="1"/>
      </w:pBdr>
      <w:jc w:val="left"/>
    </w:pPr>
    <w:rPr>
      <w:rFonts w:ascii="メイリオ" w:hAnsi="メイリオ" w:eastAsia="メイリオ"/>
      <w:sz w:val="28"/>
    </w:rPr>
  </w:style>
  <w:style w:type="character" w:styleId="39" w:customStyle="1">
    <w:name w:val="りくべつ見出し2 (文字)"/>
    <w:basedOn w:val="10"/>
    <w:next w:val="39"/>
    <w:link w:val="38"/>
    <w:uiPriority w:val="0"/>
    <w:rPr>
      <w:rFonts w:ascii="メイリオ" w:hAnsi="メイリオ" w:eastAsia="メイリオ"/>
      <w:sz w:val="28"/>
    </w:rPr>
  </w:style>
  <w:style w:type="paragraph" w:styleId="40" w:customStyle="1">
    <w:name w:val="りくべつ見出し3"/>
    <w:basedOn w:val="0"/>
    <w:next w:val="40"/>
    <w:link w:val="41"/>
    <w:uiPriority w:val="0"/>
    <w:qFormat/>
    <w:pPr>
      <w:widowControl w:val="1"/>
      <w:spacing w:before="120" w:beforeLines="0" w:beforeAutospacing="0" w:after="120" w:afterLines="0" w:afterAutospacing="0"/>
      <w:jc w:val="left"/>
    </w:pPr>
    <w:rPr>
      <w:rFonts w:ascii="メイリオ" w:hAnsi="メイリオ" w:eastAsia="メイリオ"/>
      <w:b w:val="1"/>
      <w:sz w:val="24"/>
    </w:rPr>
  </w:style>
  <w:style w:type="character" w:styleId="41" w:customStyle="1">
    <w:name w:val="りくべつ見出し3 (文字)"/>
    <w:basedOn w:val="10"/>
    <w:next w:val="41"/>
    <w:link w:val="40"/>
    <w:uiPriority w:val="0"/>
    <w:rPr>
      <w:rFonts w:ascii="メイリオ" w:hAnsi="メイリオ" w:eastAsia="メイリオ"/>
      <w:b w:val="1"/>
      <w:sz w:val="24"/>
    </w:rPr>
  </w:style>
  <w:style w:type="paragraph" w:styleId="42" w:customStyle="1">
    <w:name w:val="スタイル1"/>
    <w:basedOn w:val="38"/>
    <w:next w:val="42"/>
    <w:link w:val="43"/>
    <w:uiPriority w:val="0"/>
    <w:qFormat/>
  </w:style>
  <w:style w:type="character" w:styleId="43" w:customStyle="1">
    <w:name w:val="スタイル1 (文字)"/>
    <w:basedOn w:val="39"/>
    <w:next w:val="43"/>
    <w:link w:val="42"/>
    <w:uiPriority w:val="0"/>
    <w:rPr>
      <w:rFonts w:ascii="メイリオ" w:hAnsi="メイリオ" w:eastAsia="メイリオ"/>
      <w:sz w:val="28"/>
    </w:rPr>
  </w:style>
  <w:style w:type="character" w:styleId="44" w:customStyle="1">
    <w:name w:val="見出し 1 (文字)"/>
    <w:basedOn w:val="10"/>
    <w:next w:val="44"/>
    <w:link w:val="1"/>
    <w:uiPriority w:val="0"/>
    <w:rPr>
      <w:rFonts w:asciiTheme="majorHAnsi" w:hAnsiTheme="majorHAnsi" w:eastAsiaTheme="majorEastAsia"/>
      <w:sz w:val="24"/>
    </w:rPr>
  </w:style>
  <w:style w:type="character" w:styleId="45" w:customStyle="1">
    <w:name w:val="見出し 2 (文字)"/>
    <w:basedOn w:val="10"/>
    <w:next w:val="45"/>
    <w:link w:val="2"/>
    <w:uiPriority w:val="0"/>
    <w:rPr>
      <w:rFonts w:asciiTheme="majorHAnsi" w:hAnsiTheme="majorHAnsi" w:eastAsiaTheme="majorEastAsia"/>
    </w:rPr>
  </w:style>
  <w:style w:type="paragraph" w:styleId="46">
    <w:name w:val="toc 1"/>
    <w:basedOn w:val="0"/>
    <w:next w:val="0"/>
    <w:link w:val="0"/>
    <w:uiPriority w:val="0"/>
  </w:style>
  <w:style w:type="paragraph" w:styleId="47">
    <w:name w:val="toc 2"/>
    <w:basedOn w:val="0"/>
    <w:next w:val="0"/>
    <w:link w:val="0"/>
    <w:uiPriority w:val="0"/>
    <w:pPr>
      <w:ind w:left="210" w:leftChars="100"/>
    </w:pPr>
  </w:style>
  <w:style w:type="paragraph" w:styleId="48">
    <w:name w:val="toc 3"/>
    <w:basedOn w:val="0"/>
    <w:next w:val="0"/>
    <w:link w:val="0"/>
    <w:uiPriority w:val="0"/>
    <w:pPr>
      <w:ind w:left="420" w:leftChars="200"/>
    </w:pPr>
  </w:style>
  <w:style w:type="paragraph" w:styleId="49">
    <w:name w:val="toc 4"/>
    <w:basedOn w:val="0"/>
    <w:next w:val="0"/>
    <w:link w:val="0"/>
    <w:uiPriority w:val="0"/>
    <w:pPr>
      <w:ind w:left="630" w:leftChars="300"/>
    </w:pPr>
  </w:style>
  <w:style w:type="paragraph" w:styleId="50">
    <w:name w:val="toc 5"/>
    <w:basedOn w:val="0"/>
    <w:next w:val="0"/>
    <w:link w:val="0"/>
    <w:uiPriority w:val="0"/>
    <w:pPr>
      <w:ind w:left="840" w:leftChars="400"/>
    </w:pPr>
  </w:style>
  <w:style w:type="paragraph" w:styleId="51">
    <w:name w:val="toc 6"/>
    <w:basedOn w:val="0"/>
    <w:next w:val="0"/>
    <w:link w:val="0"/>
    <w:uiPriority w:val="0"/>
    <w:pPr>
      <w:ind w:left="1050" w:leftChars="500"/>
    </w:pPr>
  </w:style>
  <w:style w:type="paragraph" w:styleId="52">
    <w:name w:val="toc 7"/>
    <w:basedOn w:val="0"/>
    <w:next w:val="0"/>
    <w:link w:val="0"/>
    <w:uiPriority w:val="0"/>
    <w:pPr>
      <w:ind w:left="1260" w:leftChars="600"/>
    </w:pPr>
  </w:style>
  <w:style w:type="paragraph" w:styleId="53">
    <w:name w:val="toc 8"/>
    <w:basedOn w:val="0"/>
    <w:next w:val="0"/>
    <w:link w:val="0"/>
    <w:uiPriority w:val="0"/>
    <w:pPr>
      <w:ind w:left="1470" w:leftChars="700"/>
    </w:pPr>
  </w:style>
  <w:style w:type="paragraph" w:styleId="54">
    <w:name w:val="toc 9"/>
    <w:basedOn w:val="0"/>
    <w:next w:val="0"/>
    <w:link w:val="0"/>
    <w:uiPriority w:val="0"/>
    <w:pPr>
      <w:ind w:left="1680" w:leftChars="800"/>
    </w:pPr>
  </w:style>
  <w:style w:type="character" w:styleId="55">
    <w:name w:val="Hyperlink"/>
    <w:basedOn w:val="10"/>
    <w:next w:val="55"/>
    <w:link w:val="0"/>
    <w:uiPriority w:val="0"/>
    <w:rPr>
      <w:color w:val="0563C1" w:themeColor="hyperlink"/>
      <w:u w:val="single" w:color="auto"/>
    </w:rPr>
  </w:style>
  <w:style w:type="character" w:styleId="56" w:customStyle="1">
    <w:name w:val="未解決のメンション1"/>
    <w:basedOn w:val="10"/>
    <w:next w:val="56"/>
    <w:link w:val="0"/>
    <w:uiPriority w:val="0"/>
    <w:rPr>
      <w:color w:val="605E5C"/>
      <w:shd w:val="clear" w:color="auto" w:fill="E1DFDD"/>
    </w:rPr>
  </w:style>
  <w:style w:type="character" w:styleId="57">
    <w:name w:val="annotation reference"/>
    <w:basedOn w:val="10"/>
    <w:next w:val="57"/>
    <w:link w:val="0"/>
    <w:uiPriority w:val="0"/>
    <w:semiHidden/>
    <w:rPr>
      <w:sz w:val="18"/>
    </w:rPr>
  </w:style>
  <w:style w:type="paragraph" w:styleId="58">
    <w:name w:val="annotation text"/>
    <w:basedOn w:val="0"/>
    <w:next w:val="58"/>
    <w:link w:val="59"/>
    <w:uiPriority w:val="0"/>
    <w:semiHidden/>
    <w:pPr>
      <w:jc w:val="left"/>
    </w:pPr>
  </w:style>
  <w:style w:type="character" w:styleId="59" w:customStyle="1">
    <w:name w:val="コメント文字列 (文字)"/>
    <w:basedOn w:val="10"/>
    <w:next w:val="59"/>
    <w:link w:val="58"/>
    <w:uiPriority w:val="0"/>
  </w:style>
  <w:style w:type="paragraph" w:styleId="60">
    <w:name w:val="annotation subject"/>
    <w:basedOn w:val="58"/>
    <w:next w:val="58"/>
    <w:link w:val="61"/>
    <w:uiPriority w:val="0"/>
    <w:semiHidden/>
    <w:rPr>
      <w:b w:val="1"/>
    </w:rPr>
  </w:style>
  <w:style w:type="character" w:styleId="61" w:customStyle="1">
    <w:name w:val="コメント内容 (文字)"/>
    <w:basedOn w:val="59"/>
    <w:next w:val="61"/>
    <w:link w:val="60"/>
    <w:uiPriority w:val="0"/>
    <w:rPr>
      <w:b w:val="1"/>
    </w:rPr>
  </w:style>
  <w:style w:type="character" w:styleId="62">
    <w:name w:val="endnote reference"/>
    <w:basedOn w:val="10"/>
    <w:next w:val="62"/>
    <w:link w:val="0"/>
    <w:uiPriority w:val="0"/>
    <w:semiHidden/>
    <w:rPr>
      <w:vertAlign w:val="superscript"/>
    </w:rPr>
  </w:style>
  <w:style w:type="character" w:styleId="63" w:customStyle="1">
    <w:name w:val="未解決のメンション2"/>
    <w:basedOn w:val="10"/>
    <w:next w:val="63"/>
    <w:link w:val="0"/>
    <w:uiPriority w:val="0"/>
    <w:rPr>
      <w:color w:val="605E5C"/>
      <w:shd w:val="clear" w:color="auto" w:fill="E1DFDD"/>
    </w:rPr>
  </w:style>
  <w:style w:type="table" w:styleId="64">
    <w:name w:val="Table Grid"/>
    <w:basedOn w:val="11"/>
    <w:next w:val="6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5" w:customStyle="1">
    <w:name w:val="表 (格子)1"/>
    <w:basedOn w:val="11"/>
    <w:next w:val="65"/>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6" w:customStyle="1">
    <w:name w:val="表 (格子)3"/>
    <w:basedOn w:val="11"/>
    <w:next w:val="66"/>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7" w:customStyle="1">
    <w:name w:val="表 (格子)4"/>
    <w:basedOn w:val="11"/>
    <w:next w:val="67"/>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8" w:customStyle="1">
    <w:name w:val="表 (格子)5"/>
    <w:basedOn w:val="11"/>
    <w:next w:val="68"/>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9" w:customStyle="1">
    <w:name w:val="表 (格子)6"/>
    <w:basedOn w:val="11"/>
    <w:next w:val="69"/>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0" w:customStyle="1">
    <w:name w:val="表 (格子)7"/>
    <w:basedOn w:val="11"/>
    <w:next w:val="70"/>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1" w:customStyle="1">
    <w:name w:val="表 (格子)9"/>
    <w:basedOn w:val="11"/>
    <w:next w:val="71"/>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2" w:customStyle="1">
    <w:name w:val="表（シンプル 1）"/>
    <w:basedOn w:val="11"/>
    <w:next w:val="7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1.png" /><Relationship Id="rId9" Type="http://schemas.openxmlformats.org/officeDocument/2006/relationships/image" Target="media/image2.emf" /><Relationship Id="rId10" Type="http://schemas.openxmlformats.org/officeDocument/2006/relationships/oleObject" Target="embeddings/oleObject1.bin" /><Relationship Id="rId11" Type="http://schemas.openxmlformats.org/officeDocument/2006/relationships/image" Target="media/image3.emf" /><Relationship Id="rId12" Type="http://schemas.openxmlformats.org/officeDocument/2006/relationships/oleObject" Target="embeddings/oleObject2.bin" /><Relationship Id="rId13" Type="http://schemas.openxmlformats.org/officeDocument/2006/relationships/image" Target="media/image4.emf" /><Relationship Id="rId14" Type="http://schemas.openxmlformats.org/officeDocument/2006/relationships/oleObject" Target="embeddings/oleObject3.bin" /><Relationship Id="rId15" Type="http://schemas.openxmlformats.org/officeDocument/2006/relationships/image" Target="media/image5.emf" /><Relationship Id="rId16" Type="http://schemas.openxmlformats.org/officeDocument/2006/relationships/oleObject" Target="embeddings/oleObject4.bin" /><Relationship Id="rId17" Type="http://schemas.openxmlformats.org/officeDocument/2006/relationships/image" Target="media/image6.emf" /><Relationship Id="rId18" Type="http://schemas.openxmlformats.org/officeDocument/2006/relationships/oleObject" Target="embeddings/oleObject5.bin" /><Relationship Id="rId19" Type="http://schemas.openxmlformats.org/officeDocument/2006/relationships/image" Target="media/image7.emf" /><Relationship Id="rId20" Type="http://schemas.openxmlformats.org/officeDocument/2006/relationships/oleObject" Target="embeddings/oleObject6.bin" /><Relationship Id="rId21" Type="http://schemas.openxmlformats.org/officeDocument/2006/relationships/image" Target="media/image8.png" /><Relationship Id="rId22" Type="http://schemas.openxmlformats.org/officeDocument/2006/relationships/image" Target="media/image9.emf" /><Relationship Id="rId23" Type="http://schemas.openxmlformats.org/officeDocument/2006/relationships/oleObject" Target="embeddings/oleObject7.bin" /><Relationship Id="rId24" Type="http://schemas.openxmlformats.org/officeDocument/2006/relationships/image" Target="media/image10.png" /><Relationship Id="rId25" Type="http://schemas.openxmlformats.org/officeDocument/2006/relationships/image" Target="media/image11.emf" /><Relationship Id="rId26" Type="http://schemas.openxmlformats.org/officeDocument/2006/relationships/oleObject" Target="embeddings/oleObject8.bin" /><Relationship Id="rId27" Type="http://schemas.openxmlformats.org/officeDocument/2006/relationships/image" Target="media/image12.png" /><Relationship Id="rId28" Type="http://schemas.openxmlformats.org/officeDocument/2006/relationships/image" Target="media/image13.emf" /><Relationship Id="rId29" Type="http://schemas.openxmlformats.org/officeDocument/2006/relationships/oleObject" Target="embeddings/oleObject9.bin" /><Relationship Id="rId30" Type="http://schemas.openxmlformats.org/officeDocument/2006/relationships/image" Target="media/image14.emf" /><Relationship Id="rId31" Type="http://schemas.openxmlformats.org/officeDocument/2006/relationships/oleObject" Target="embeddings/oleObject10.bin"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emf" /><Relationship Id="rId35" Type="http://schemas.openxmlformats.org/officeDocument/2006/relationships/oleObject" Target="embeddings/oleObject11.bin" /><Relationship Id="rId36" Type="http://schemas.openxmlformats.org/officeDocument/2006/relationships/image" Target="media/image18.emf" /><Relationship Id="rId37" Type="http://schemas.openxmlformats.org/officeDocument/2006/relationships/oleObject" Target="embeddings/oleObject12.bin" /><Relationship Id="rId38" Type="http://schemas.openxmlformats.org/officeDocument/2006/relationships/image" Target="media/image19.emf" /><Relationship Id="rId39" Type="http://schemas.openxmlformats.org/officeDocument/2006/relationships/oleObject" Target="embeddings/oleObject13.bin" /><Relationship Id="rId40" Type="http://schemas.openxmlformats.org/officeDocument/2006/relationships/image" Target="media/image20.emf" /><Relationship Id="rId41" Type="http://schemas.openxmlformats.org/officeDocument/2006/relationships/oleObject" Target="embeddings/oleObject14.bin" /><Relationship Id="rId42" Type="http://schemas.openxmlformats.org/officeDocument/2006/relationships/image" Target="media/image21.emf" /><Relationship Id="rId43" Type="http://schemas.openxmlformats.org/officeDocument/2006/relationships/oleObject" Target="embeddings/oleObject15.bin" /><Relationship Id="rId44" Type="http://schemas.openxmlformats.org/officeDocument/2006/relationships/image" Target="media/image22.emf" /><Relationship Id="rId45" Type="http://schemas.openxmlformats.org/officeDocument/2006/relationships/oleObject" Target="embeddings/oleObject16.bin" /><Relationship Id="rId46" Type="http://schemas.openxmlformats.org/officeDocument/2006/relationships/image" Target="media/image23.emf" /><Relationship Id="rId47" Type="http://schemas.openxmlformats.org/officeDocument/2006/relationships/oleObject" Target="embeddings/oleObject17.bin" /><Relationship Id="rId48" Type="http://schemas.openxmlformats.org/officeDocument/2006/relationships/image" Target="media/image24.png" /><Relationship Id="rId49" Type="http://schemas.openxmlformats.org/officeDocument/2006/relationships/image" Target="media/image25.png" /><Relationship Id="rId50" Type="http://schemas.openxmlformats.org/officeDocument/2006/relationships/image" Target="media/image26.png" /><Relationship Id="rId51" Type="http://schemas.openxmlformats.org/officeDocument/2006/relationships/image" Target="media/image27.emf" /><Relationship Id="rId52" Type="http://schemas.openxmlformats.org/officeDocument/2006/relationships/oleObject" Target="embeddings/oleObject18.bin" /><Relationship Id="rId53" Type="http://schemas.openxmlformats.org/officeDocument/2006/relationships/image" Target="media/image28.emf" /><Relationship Id="rId54" Type="http://schemas.openxmlformats.org/officeDocument/2006/relationships/oleObject" Target="embeddings/oleObject19.bin" /><Relationship Id="rId55" Type="http://schemas.openxmlformats.org/officeDocument/2006/relationships/image" Target="media/image29.emf" /><Relationship Id="rId56" Type="http://schemas.openxmlformats.org/officeDocument/2006/relationships/oleObject" Target="embeddings/oleObject20.bin" /><Relationship Id="rId57" Type="http://schemas.openxmlformats.org/officeDocument/2006/relationships/image" Target="media/image30.emf" /><Relationship Id="rId58" Type="http://schemas.openxmlformats.org/officeDocument/2006/relationships/oleObject" Target="embeddings/oleObject21.bin" /><Relationship Id="rId59" Type="http://schemas.openxmlformats.org/officeDocument/2006/relationships/footnotes" Target="footnotes.xml" /><Relationship Id="rId60" Type="http://schemas.microsoft.com/office/2011/relationships/commentsExtended" Target="commentsExtended.xml" /><Relationship Id="rId61" Type="http://schemas.openxmlformats.org/officeDocument/2006/relationships/glossaryDocument" Target="glossary/document.xml" /></Relationships>
</file>

<file path=word/glossary/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s>
</file>

<file path=word/glossary/document.xml><?xml version="1.0" encoding="utf-8"?>
<w:glossary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Parts>
    <w:docPart>
      <w:docPartPr>
        <w:name w:val="450098EDC7304AC5858FDDCC8AE8353B"/>
        <w:category>
          <w:name w:val="全般"/>
          <w:gallery w:val="placeholder"/>
        </w:category>
        <w:types>
          <w:type w:val="bbPlcHdr"/>
        </w:types>
        <w:behaviors>
          <w:behavior w:val="content"/>
        </w:behaviors>
        <w:guid w:val="{8724353D-D53D-481D-8320-3496F7E65DD3}"/>
      </w:docPartPr>
      <w:docPartBody>
        <w:p>
          <w:pPr>
            <w:pStyle w:val="0"/>
            <w:rPr>
              <w:rFonts w:hint="default"/>
            </w:rPr>
          </w:pPr>
          <w:r>
            <w:rPr>
              <w:rFonts w:hint="default" w:asciiTheme="majorHAnsi" w:hAnsiTheme="majorHAnsi" w:eastAsiaTheme="majorEastAsia"/>
              <w:color w:val="4472C4" w:themeColor="accent1"/>
              <w:sz w:val="88"/>
            </w:rPr>
            <w:t>[</w:t>
          </w:r>
          <w:r>
            <w:rPr>
              <w:rFonts w:hint="default" w:asciiTheme="majorHAnsi" w:hAnsiTheme="majorHAnsi" w:eastAsiaTheme="majorEastAsia"/>
              <w:color w:val="4472C4" w:themeColor="accent1"/>
              <w:sz w:val="88"/>
            </w:rPr>
            <w:t>文書のタイトル</w:t>
          </w:r>
          <w:r>
            <w:rPr>
              <w:rFonts w:hint="default" w:asciiTheme="majorHAnsi" w:hAnsiTheme="majorHAnsi" w:eastAsiaTheme="majorEastAsia"/>
              <w:color w:val="4472C4" w:themeColor="accent1"/>
              <w:sz w:val="88"/>
            </w:rPr>
            <w:t>]</w:t>
          </w:r>
        </w:p>
      </w:docPartBody>
    </w:docPart>
  </w:docParts>
</w:glossaryDocument>
</file>

<file path=word/glossary/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s>
</file>

<file path=word/glossary/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isplayBackgroundShape/>
  <w:bordersDoNotSurroundHeader/>
  <w:bordersDoNotSurroundFooter/>
  <w:defaultTabStop w:val="840"/>
  <w:defaultTableStyle w:val="72"/>
  <w:drawingGridHorizontalSpacing w:val="105"/>
  <w:drawingGridVerticalSpacing w:val="335"/>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glossary/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44"/>
    <w:uiPriority w:val="0"/>
    <w:qFormat/>
    <w:pPr>
      <w:keepNext w:val="1"/>
      <w:outlineLvl w:val="0"/>
    </w:pPr>
    <w:rPr>
      <w:rFonts w:asciiTheme="majorHAnsi" w:hAnsiTheme="majorHAnsi" w:eastAsiaTheme="majorEastAsia"/>
      <w:sz w:val="24"/>
    </w:rPr>
  </w:style>
  <w:style w:type="paragraph" w:styleId="2">
    <w:name w:val="heading 2"/>
    <w:basedOn w:val="0"/>
    <w:next w:val="0"/>
    <w:link w:val="45"/>
    <w:uiPriority w:val="0"/>
    <w:qFormat/>
    <w:pPr>
      <w:keepNext w:val="1"/>
      <w:outlineLvl w:val="1"/>
    </w:pPr>
    <w:rPr>
      <w:rFonts w:asciiTheme="majorHAnsi" w:hAnsiTheme="majorHAnsi" w:eastAsiaTheme="majorEastAsia"/>
    </w:rPr>
  </w:style>
  <w:style w:type="paragraph" w:styleId="3">
    <w:name w:val="heading 3"/>
    <w:next w:val="0"/>
    <w:link w:val="32"/>
    <w:uiPriority w:val="0"/>
    <w:qFormat/>
    <w:pPr>
      <w:keepNext w:val="1"/>
      <w:autoSpaceDE w:val="0"/>
      <w:autoSpaceDN w:val="0"/>
      <w:ind w:left="100" w:leftChars="100"/>
      <w:outlineLvl w:val="2"/>
    </w:pPr>
    <w:rPr>
      <w:rFonts w:ascii="ＭＳ ゴシック" w:hAnsi="ＭＳ ゴシック" w:eastAsia="ＭＳ ゴシック"/>
      <w:sz w:val="24"/>
    </w:rPr>
  </w:style>
  <w:style w:type="paragraph" w:styleId="4">
    <w:name w:val="heading 4"/>
    <w:next w:val="0"/>
    <w:link w:val="33"/>
    <w:uiPriority w:val="0"/>
    <w:qFormat/>
    <w:pPr>
      <w:keepNext w:val="1"/>
      <w:autoSpaceDE w:val="0"/>
      <w:autoSpaceDN w:val="0"/>
      <w:ind w:left="350" w:leftChars="250" w:hanging="100" w:hangingChars="100"/>
      <w:outlineLvl w:val="3"/>
    </w:pPr>
    <w:rPr>
      <w:rFonts w:ascii="ＭＳ 明朝" w:hAnsi="ＭＳ 明朝" w:eastAsia="ＭＳ 明朝"/>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 Spacing"/>
    <w:next w:val="15"/>
    <w:link w:val="16"/>
    <w:uiPriority w:val="0"/>
    <w:qFormat/>
    <w:rPr>
      <w:kern w:val="0"/>
      <w:sz w:val="22"/>
    </w:rPr>
  </w:style>
  <w:style w:type="character" w:styleId="16" w:customStyle="1">
    <w:name w:val="行間詰め (文字)"/>
    <w:basedOn w:val="10"/>
    <w:next w:val="16"/>
    <w:link w:val="15"/>
    <w:uiPriority w:val="0"/>
    <w:rPr>
      <w:kern w:val="0"/>
      <w:sz w:val="22"/>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Body Text"/>
    <w:basedOn w:val="0"/>
    <w:next w:val="21"/>
    <w:link w:val="22"/>
    <w:uiPriority w:val="0"/>
    <w:qFormat/>
    <w:pPr>
      <w:autoSpaceDE w:val="0"/>
      <w:autoSpaceDN w:val="0"/>
      <w:spacing w:line="400" w:lineRule="exact"/>
      <w:ind w:left="440" w:leftChars="200" w:right="220" w:rightChars="100" w:firstLine="240" w:firstLineChars="100"/>
    </w:pPr>
    <w:rPr>
      <w:rFonts w:ascii="メイリオ" w:hAnsi="メイリオ" w:eastAsia="メイリオ"/>
      <w:kern w:val="0"/>
      <w:sz w:val="24"/>
    </w:rPr>
  </w:style>
  <w:style w:type="character" w:styleId="22" w:customStyle="1">
    <w:name w:val="本文 (文字)"/>
    <w:basedOn w:val="10"/>
    <w:next w:val="22"/>
    <w:link w:val="21"/>
    <w:uiPriority w:val="0"/>
    <w:rPr>
      <w:rFonts w:ascii="メイリオ" w:hAnsi="メイリオ" w:eastAsia="メイリオ"/>
      <w:kern w:val="0"/>
      <w:sz w:val="24"/>
    </w:rPr>
  </w:style>
  <w:style w:type="character" w:styleId="23">
    <w:name w:val="footnote reference"/>
    <w:basedOn w:val="10"/>
    <w:next w:val="23"/>
    <w:link w:val="0"/>
    <w:uiPriority w:val="0"/>
    <w:semiHidden/>
    <w:rPr>
      <w:vertAlign w:val="superscript"/>
    </w:rPr>
  </w:style>
  <w:style w:type="paragraph" w:styleId="24">
    <w:name w:val="footnote text"/>
    <w:basedOn w:val="0"/>
    <w:next w:val="24"/>
    <w:link w:val="25"/>
    <w:uiPriority w:val="0"/>
    <w:semiHidden/>
    <w:pPr>
      <w:snapToGrid w:val="0"/>
      <w:jc w:val="left"/>
    </w:pPr>
  </w:style>
  <w:style w:type="character" w:styleId="25" w:customStyle="1">
    <w:name w:val="脚注文字列 (文字)"/>
    <w:basedOn w:val="10"/>
    <w:next w:val="25"/>
    <w:link w:val="24"/>
    <w:uiPriority w:val="0"/>
  </w:style>
  <w:style w:type="paragraph" w:styleId="26" w:customStyle="1">
    <w:name w:val="スタイル3"/>
    <w:basedOn w:val="0"/>
    <w:next w:val="26"/>
    <w:link w:val="27"/>
    <w:uiPriority w:val="0"/>
    <w:qFormat/>
    <w:rPr>
      <w:rFonts w:ascii="メイリオ" w:hAnsi="メイリオ" w:eastAsia="メイリオ"/>
      <w:sz w:val="28"/>
    </w:rPr>
  </w:style>
  <w:style w:type="character" w:styleId="27" w:customStyle="1">
    <w:name w:val="スタイル3 (文字)"/>
    <w:basedOn w:val="10"/>
    <w:next w:val="27"/>
    <w:link w:val="26"/>
    <w:uiPriority w:val="0"/>
    <w:rPr>
      <w:rFonts w:ascii="メイリオ" w:hAnsi="メイリオ" w:eastAsia="メイリオ"/>
      <w:sz w:val="28"/>
    </w:rPr>
  </w:style>
  <w:style w:type="paragraph" w:styleId="28" w:customStyle="1">
    <w:name w:val="文"/>
    <w:basedOn w:val="0"/>
    <w:next w:val="28"/>
    <w:link w:val="0"/>
    <w:uiPriority w:val="0"/>
    <w:pPr>
      <w:ind w:left="441" w:leftChars="210" w:firstLine="210" w:firstLineChars="100"/>
    </w:pPr>
    <w:rPr>
      <w:rFonts w:ascii="ＭＳ 明朝" w:hAnsi="ＭＳ 明朝" w:eastAsia="ＭＳ 明朝"/>
    </w:rPr>
  </w:style>
  <w:style w:type="paragraph" w:styleId="29" w:customStyle="1">
    <w:name w:val="（１）"/>
    <w:basedOn w:val="0"/>
    <w:next w:val="30"/>
    <w:link w:val="0"/>
    <w:uiPriority w:val="0"/>
    <w:pPr>
      <w:outlineLvl w:val="2"/>
    </w:pPr>
    <w:rPr>
      <w:rFonts w:ascii="ＭＳ ゴシック" w:hAnsi="ＭＳ ゴシック" w:eastAsia="ＭＳ ゴシック"/>
      <w:sz w:val="24"/>
    </w:rPr>
  </w:style>
  <w:style w:type="paragraph" w:styleId="30">
    <w:name w:val="Plain Text"/>
    <w:basedOn w:val="0"/>
    <w:next w:val="30"/>
    <w:link w:val="31"/>
    <w:uiPriority w:val="0"/>
    <w:rPr>
      <w:rFonts w:asciiTheme="minorEastAsia" w:hAnsiTheme="minorEastAsia"/>
    </w:rPr>
  </w:style>
  <w:style w:type="character" w:styleId="31" w:customStyle="1">
    <w:name w:val="書式なし (文字)"/>
    <w:basedOn w:val="10"/>
    <w:next w:val="31"/>
    <w:link w:val="30"/>
    <w:uiPriority w:val="0"/>
    <w:rPr>
      <w:rFonts w:asciiTheme="minorEastAsia" w:hAnsiTheme="minorEastAsia"/>
    </w:rPr>
  </w:style>
  <w:style w:type="character" w:styleId="32" w:customStyle="1">
    <w:name w:val="見出し 3 (文字)"/>
    <w:basedOn w:val="10"/>
    <w:next w:val="32"/>
    <w:link w:val="3"/>
    <w:uiPriority w:val="0"/>
    <w:rPr>
      <w:rFonts w:ascii="ＭＳ ゴシック" w:hAnsi="ＭＳ ゴシック" w:eastAsia="ＭＳ ゴシック"/>
      <w:sz w:val="24"/>
    </w:rPr>
  </w:style>
  <w:style w:type="character" w:styleId="33" w:customStyle="1">
    <w:name w:val="見出し 4 (文字)"/>
    <w:basedOn w:val="10"/>
    <w:next w:val="33"/>
    <w:link w:val="4"/>
    <w:uiPriority w:val="0"/>
    <w:rPr>
      <w:rFonts w:ascii="ＭＳ 明朝" w:hAnsi="ＭＳ 明朝" w:eastAsia="ＭＳ 明朝"/>
      <w:sz w:val="22"/>
    </w:rPr>
  </w:style>
  <w:style w:type="paragraph" w:styleId="34">
    <w:name w:val="Normal Indent"/>
    <w:basedOn w:val="0"/>
    <w:next w:val="34"/>
    <w:link w:val="0"/>
    <w:uiPriority w:val="0"/>
    <w:pPr>
      <w:ind w:left="840" w:leftChars="400"/>
    </w:pPr>
  </w:style>
  <w:style w:type="paragraph" w:styleId="35">
    <w:name w:val="List Paragraph"/>
    <w:basedOn w:val="0"/>
    <w:next w:val="35"/>
    <w:link w:val="0"/>
    <w:uiPriority w:val="0"/>
    <w:qFormat/>
    <w:pPr>
      <w:ind w:left="840" w:leftChars="400"/>
    </w:pPr>
  </w:style>
  <w:style w:type="paragraph" w:styleId="36" w:customStyle="1">
    <w:name w:val="りくべつ見出し1"/>
    <w:basedOn w:val="0"/>
    <w:next w:val="36"/>
    <w:link w:val="37"/>
    <w:uiPriority w:val="0"/>
    <w:qFormat/>
    <w:pPr>
      <w:widowControl w:val="1"/>
      <w:pBdr>
        <w:top w:val="single" w:color="auto" w:sz="12" w:space="1" w:shadow="1"/>
        <w:left w:val="single" w:color="auto" w:sz="12" w:space="4" w:shadow="1"/>
        <w:bottom w:val="single" w:color="auto" w:sz="12" w:space="1" w:shadow="1"/>
        <w:right w:val="single" w:color="auto" w:sz="12" w:space="4" w:shadow="1"/>
      </w:pBdr>
      <w:jc w:val="left"/>
    </w:pPr>
    <w:rPr>
      <w:rFonts w:ascii="メイリオ" w:hAnsi="メイリオ" w:eastAsia="メイリオ"/>
      <w:b w:val="1"/>
      <w:sz w:val="32"/>
    </w:rPr>
  </w:style>
  <w:style w:type="character" w:styleId="37" w:customStyle="1">
    <w:name w:val="りくべつ見出し1 (文字)"/>
    <w:basedOn w:val="10"/>
    <w:next w:val="37"/>
    <w:link w:val="36"/>
    <w:uiPriority w:val="0"/>
    <w:rPr>
      <w:rFonts w:ascii="メイリオ" w:hAnsi="メイリオ" w:eastAsia="メイリオ"/>
      <w:b w:val="1"/>
      <w:sz w:val="32"/>
    </w:rPr>
  </w:style>
  <w:style w:type="paragraph" w:styleId="38" w:customStyle="1">
    <w:name w:val="りくべつ見出し2"/>
    <w:basedOn w:val="0"/>
    <w:next w:val="38"/>
    <w:link w:val="39"/>
    <w:uiPriority w:val="0"/>
    <w:qFormat/>
    <w:pPr>
      <w:widowControl w:val="1"/>
      <w:pBdr>
        <w:bottom w:val="thinThickMediumGap" w:color="auto" w:sz="12" w:space="1"/>
      </w:pBdr>
      <w:jc w:val="left"/>
    </w:pPr>
    <w:rPr>
      <w:rFonts w:ascii="メイリオ" w:hAnsi="メイリオ" w:eastAsia="メイリオ"/>
      <w:sz w:val="28"/>
    </w:rPr>
  </w:style>
  <w:style w:type="character" w:styleId="39" w:customStyle="1">
    <w:name w:val="りくべつ見出し2 (文字)"/>
    <w:basedOn w:val="10"/>
    <w:next w:val="39"/>
    <w:link w:val="38"/>
    <w:uiPriority w:val="0"/>
    <w:rPr>
      <w:rFonts w:ascii="メイリオ" w:hAnsi="メイリオ" w:eastAsia="メイリオ"/>
      <w:sz w:val="28"/>
    </w:rPr>
  </w:style>
  <w:style w:type="paragraph" w:styleId="40" w:customStyle="1">
    <w:name w:val="りくべつ見出し3"/>
    <w:basedOn w:val="0"/>
    <w:next w:val="40"/>
    <w:link w:val="41"/>
    <w:uiPriority w:val="0"/>
    <w:qFormat/>
    <w:pPr>
      <w:widowControl w:val="1"/>
      <w:spacing w:before="120" w:beforeLines="0" w:beforeAutospacing="0" w:after="120" w:afterLines="0" w:afterAutospacing="0"/>
      <w:jc w:val="left"/>
    </w:pPr>
    <w:rPr>
      <w:rFonts w:ascii="メイリオ" w:hAnsi="メイリオ" w:eastAsia="メイリオ"/>
      <w:b w:val="1"/>
      <w:sz w:val="24"/>
    </w:rPr>
  </w:style>
  <w:style w:type="character" w:styleId="41" w:customStyle="1">
    <w:name w:val="りくべつ見出し3 (文字)"/>
    <w:basedOn w:val="10"/>
    <w:next w:val="41"/>
    <w:link w:val="40"/>
    <w:uiPriority w:val="0"/>
    <w:rPr>
      <w:rFonts w:ascii="メイリオ" w:hAnsi="メイリオ" w:eastAsia="メイリオ"/>
      <w:b w:val="1"/>
      <w:sz w:val="24"/>
    </w:rPr>
  </w:style>
  <w:style w:type="paragraph" w:styleId="42" w:customStyle="1">
    <w:name w:val="スタイル1"/>
    <w:basedOn w:val="38"/>
    <w:next w:val="42"/>
    <w:link w:val="43"/>
    <w:uiPriority w:val="0"/>
    <w:qFormat/>
  </w:style>
  <w:style w:type="character" w:styleId="43" w:customStyle="1">
    <w:name w:val="スタイル1 (文字)"/>
    <w:basedOn w:val="39"/>
    <w:next w:val="43"/>
    <w:link w:val="42"/>
    <w:uiPriority w:val="0"/>
    <w:rPr>
      <w:rFonts w:ascii="メイリオ" w:hAnsi="メイリオ" w:eastAsia="メイリオ"/>
      <w:sz w:val="28"/>
    </w:rPr>
  </w:style>
  <w:style w:type="character" w:styleId="44" w:customStyle="1">
    <w:name w:val="見出し 1 (文字)"/>
    <w:basedOn w:val="10"/>
    <w:next w:val="44"/>
    <w:link w:val="1"/>
    <w:uiPriority w:val="0"/>
    <w:rPr>
      <w:rFonts w:asciiTheme="majorHAnsi" w:hAnsiTheme="majorHAnsi" w:eastAsiaTheme="majorEastAsia"/>
      <w:sz w:val="24"/>
    </w:rPr>
  </w:style>
  <w:style w:type="character" w:styleId="45" w:customStyle="1">
    <w:name w:val="見出し 2 (文字)"/>
    <w:basedOn w:val="10"/>
    <w:next w:val="45"/>
    <w:link w:val="2"/>
    <w:uiPriority w:val="0"/>
    <w:rPr>
      <w:rFonts w:asciiTheme="majorHAnsi" w:hAnsiTheme="majorHAnsi" w:eastAsiaTheme="majorEastAsia"/>
    </w:rPr>
  </w:style>
  <w:style w:type="paragraph" w:styleId="46">
    <w:name w:val="toc 1"/>
    <w:basedOn w:val="0"/>
    <w:next w:val="0"/>
    <w:link w:val="0"/>
    <w:uiPriority w:val="0"/>
  </w:style>
  <w:style w:type="paragraph" w:styleId="47">
    <w:name w:val="toc 2"/>
    <w:basedOn w:val="0"/>
    <w:next w:val="0"/>
    <w:link w:val="0"/>
    <w:uiPriority w:val="0"/>
    <w:pPr>
      <w:ind w:left="210" w:leftChars="100"/>
    </w:pPr>
  </w:style>
  <w:style w:type="paragraph" w:styleId="48">
    <w:name w:val="toc 3"/>
    <w:basedOn w:val="0"/>
    <w:next w:val="0"/>
    <w:link w:val="0"/>
    <w:uiPriority w:val="0"/>
    <w:pPr>
      <w:ind w:left="420" w:leftChars="200"/>
    </w:pPr>
  </w:style>
  <w:style w:type="paragraph" w:styleId="49">
    <w:name w:val="toc 4"/>
    <w:basedOn w:val="0"/>
    <w:next w:val="0"/>
    <w:link w:val="0"/>
    <w:uiPriority w:val="0"/>
    <w:pPr>
      <w:ind w:left="630" w:leftChars="300"/>
    </w:pPr>
  </w:style>
  <w:style w:type="paragraph" w:styleId="50">
    <w:name w:val="toc 5"/>
    <w:basedOn w:val="0"/>
    <w:next w:val="0"/>
    <w:link w:val="0"/>
    <w:uiPriority w:val="0"/>
    <w:pPr>
      <w:ind w:left="840" w:leftChars="400"/>
    </w:pPr>
  </w:style>
  <w:style w:type="paragraph" w:styleId="51">
    <w:name w:val="toc 6"/>
    <w:basedOn w:val="0"/>
    <w:next w:val="0"/>
    <w:link w:val="0"/>
    <w:uiPriority w:val="0"/>
    <w:pPr>
      <w:ind w:left="1050" w:leftChars="500"/>
    </w:pPr>
  </w:style>
  <w:style w:type="paragraph" w:styleId="52">
    <w:name w:val="toc 7"/>
    <w:basedOn w:val="0"/>
    <w:next w:val="0"/>
    <w:link w:val="0"/>
    <w:uiPriority w:val="0"/>
    <w:pPr>
      <w:ind w:left="1260" w:leftChars="600"/>
    </w:pPr>
  </w:style>
  <w:style w:type="paragraph" w:styleId="53">
    <w:name w:val="toc 8"/>
    <w:basedOn w:val="0"/>
    <w:next w:val="0"/>
    <w:link w:val="0"/>
    <w:uiPriority w:val="0"/>
    <w:pPr>
      <w:ind w:left="1470" w:leftChars="700"/>
    </w:pPr>
  </w:style>
  <w:style w:type="paragraph" w:styleId="54">
    <w:name w:val="toc 9"/>
    <w:basedOn w:val="0"/>
    <w:next w:val="0"/>
    <w:link w:val="0"/>
    <w:uiPriority w:val="0"/>
    <w:pPr>
      <w:ind w:left="1680" w:leftChars="800"/>
    </w:pPr>
  </w:style>
  <w:style w:type="character" w:styleId="55">
    <w:name w:val="Hyperlink"/>
    <w:basedOn w:val="10"/>
    <w:next w:val="55"/>
    <w:link w:val="0"/>
    <w:uiPriority w:val="0"/>
    <w:rPr>
      <w:color w:val="0563C1" w:themeColor="hyperlink"/>
      <w:u w:val="single" w:color="auto"/>
    </w:rPr>
  </w:style>
  <w:style w:type="character" w:styleId="56" w:customStyle="1">
    <w:name w:val="未解決のメンション1"/>
    <w:basedOn w:val="10"/>
    <w:next w:val="56"/>
    <w:link w:val="0"/>
    <w:uiPriority w:val="0"/>
    <w:rPr>
      <w:color w:val="605E5C"/>
      <w:shd w:val="clear" w:color="auto" w:fill="E1DFDD"/>
    </w:rPr>
  </w:style>
  <w:style w:type="character" w:styleId="57">
    <w:name w:val="annotation reference"/>
    <w:basedOn w:val="10"/>
    <w:next w:val="57"/>
    <w:link w:val="0"/>
    <w:uiPriority w:val="0"/>
    <w:semiHidden/>
    <w:rPr>
      <w:sz w:val="18"/>
    </w:rPr>
  </w:style>
  <w:style w:type="paragraph" w:styleId="58">
    <w:name w:val="annotation text"/>
    <w:basedOn w:val="0"/>
    <w:next w:val="58"/>
    <w:link w:val="59"/>
    <w:uiPriority w:val="0"/>
    <w:semiHidden/>
    <w:pPr>
      <w:jc w:val="left"/>
    </w:pPr>
  </w:style>
  <w:style w:type="character" w:styleId="59" w:customStyle="1">
    <w:name w:val="コメント文字列 (文字)"/>
    <w:basedOn w:val="10"/>
    <w:next w:val="59"/>
    <w:link w:val="58"/>
    <w:uiPriority w:val="0"/>
  </w:style>
  <w:style w:type="paragraph" w:styleId="60">
    <w:name w:val="annotation subject"/>
    <w:basedOn w:val="58"/>
    <w:next w:val="58"/>
    <w:link w:val="61"/>
    <w:uiPriority w:val="0"/>
    <w:semiHidden/>
    <w:rPr>
      <w:b w:val="1"/>
    </w:rPr>
  </w:style>
  <w:style w:type="character" w:styleId="61" w:customStyle="1">
    <w:name w:val="コメント内容 (文字)"/>
    <w:basedOn w:val="59"/>
    <w:next w:val="61"/>
    <w:link w:val="60"/>
    <w:uiPriority w:val="0"/>
    <w:rPr>
      <w:b w:val="1"/>
    </w:rPr>
  </w:style>
  <w:style w:type="character" w:styleId="62">
    <w:name w:val="endnote reference"/>
    <w:basedOn w:val="10"/>
    <w:next w:val="62"/>
    <w:link w:val="0"/>
    <w:uiPriority w:val="0"/>
    <w:semiHidden/>
    <w:rPr>
      <w:vertAlign w:val="superscript"/>
    </w:rPr>
  </w:style>
  <w:style w:type="character" w:styleId="63" w:customStyle="1">
    <w:name w:val="未解決のメンション2"/>
    <w:basedOn w:val="10"/>
    <w:next w:val="63"/>
    <w:link w:val="0"/>
    <w:uiPriority w:val="0"/>
    <w:rPr>
      <w:color w:val="605E5C"/>
      <w:shd w:val="clear" w:color="auto" w:fill="E1DFDD"/>
    </w:rPr>
  </w:style>
  <w:style w:type="table" w:styleId="64">
    <w:name w:val="Table Grid"/>
    <w:basedOn w:val="11"/>
    <w:next w:val="6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5" w:customStyle="1">
    <w:name w:val="表 (格子)1"/>
    <w:basedOn w:val="11"/>
    <w:next w:val="65"/>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6" w:customStyle="1">
    <w:name w:val="表 (格子)3"/>
    <w:basedOn w:val="11"/>
    <w:next w:val="66"/>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7" w:customStyle="1">
    <w:name w:val="表 (格子)4"/>
    <w:basedOn w:val="11"/>
    <w:next w:val="67"/>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8" w:customStyle="1">
    <w:name w:val="表 (格子)5"/>
    <w:basedOn w:val="11"/>
    <w:next w:val="68"/>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9" w:customStyle="1">
    <w:name w:val="表 (格子)6"/>
    <w:basedOn w:val="11"/>
    <w:next w:val="69"/>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0" w:customStyle="1">
    <w:name w:val="表 (格子)7"/>
    <w:basedOn w:val="11"/>
    <w:next w:val="70"/>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1" w:customStyle="1">
    <w:name w:val="表 (格子)9"/>
    <w:basedOn w:val="11"/>
    <w:next w:val="71"/>
    <w:link w:val="0"/>
    <w:uiPriority w:val="0"/>
    <w:pPr>
      <w:widowControl w:val="0"/>
      <w:jc w:val="both"/>
    </w:pPr>
    <w:rPr>
      <w:rFonts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72" w:customStyle="1">
    <w:name w:val="表（シンプル 1）"/>
    <w:basedOn w:val="11"/>
    <w:next w:val="7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1545</TotalTime>
  <Pages>91</Pages>
  <Words>1938</Words>
  <Characters>39582</Characters>
  <Application>JUST Note</Application>
  <Lines>228274</Lines>
  <Paragraphs>2380</Paragraphs>
  <Company>陸別町</Company>
  <CharactersWithSpaces>40541</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陸別町高齢者保健福祉計画・介護保険事業計画</dc:title>
  <dc:creator>香 高橋</dc:creator>
  <cp:lastModifiedBy>瀧澤 勇二</cp:lastModifiedBy>
  <cp:lastPrinted>2024-02-25T08:07:24Z</cp:lastPrinted>
  <dcterms:created xsi:type="dcterms:W3CDTF">2024-01-19T01:44:00Z</dcterms:created>
  <dcterms:modified xsi:type="dcterms:W3CDTF">2024-02-25T08:21:10Z</dcterms:modified>
  <cp:revision>68</cp:revision>
</cp:coreProperties>
</file>